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spacing w:after="200"/>
        <w:jc w:val="center"/>
      </w:pPr>
      <w:r>
        <w:rPr>
          <w:b/>
          <w:bCs/>
          <w:color w:val="C00000"/>
          <w:sz w:val="56"/>
          <w:szCs w:val="56"/>
        </w:rPr>
        <w:t xml:space="preserve">Multiple Choice Questions</w:t>
      </w:r>
    </w:p>
    <w:p>
      <w:pPr>
        <w:spacing w:after="400"/>
        <w:jc w:val="center"/>
      </w:pPr>
      <w:r>
        <w:rPr>
          <w:b/>
          <w:bCs/>
          <w:sz w:val="28"/>
          <w:szCs w:val="28"/>
        </w:rPr>
        <w:t xml:space="preserve">Surgical Infections  •  Postoperative Care  •  Salivary Gland Diseases  •  Posterior Urethral Valves  •  Oral Cancers</w:t>
      </w:r>
    </w:p>
    <w:p>
      <w:pPr>
        <w:spacing w:after="200"/>
        <w:jc w:val="center"/>
      </w:pPr>
      <w:r>
        <w:rPr>
          <w:sz w:val="26"/>
          <w:szCs w:val="26"/>
        </w:rPr>
        <w:t xml:space="preserve">Final Year MBBS</w:t>
      </w:r>
    </w:p>
    <w:p>
      <w:pPr>
        <w:spacing w:after="200"/>
        <w:jc w:val="center"/>
      </w:pPr>
      <w:r>
        <w:rPr>
          <w:i/>
          <w:iCs/>
          <w:sz w:val="24"/>
          <w:szCs w:val="24"/>
        </w:rPr>
        <w:t xml:space="preserve">Prepared for Prof. Dr. Zahid Mahmood</w:t>
      </w:r>
    </w:p>
    <w:p>
      <w:pPr>
        <w:spacing w:after="200"/>
        <w:jc w:val="center"/>
      </w:pPr>
      <w:r>
        <w:rPr>
          <w:i/>
          <w:iCs/>
          <w:color w:val="595959"/>
          <w:sz w:val="20"/>
          <w:szCs w:val="20"/>
        </w:rPr>
        <w:t xml:space="preserve">Sourced from CDC, WHO, ASH, ERAS Society, AJCC, PubMed/PMC, Lancet Oncology and StatPearls (NCBI Bookshelf)</w:t>
      </w:r>
    </w:p>
    <w:p>
      <w:pPr>
        <w:jc w:val="center"/>
      </w:pPr>
      <w:r>
        <w:rPr>
          <w:color w:val="595959"/>
          <w:sz w:val="20"/>
          <w:szCs w:val="20"/>
        </w:rPr>
        <w:t xml:space="preserve">August 2026</w:t>
      </w:r>
    </w:p>
    <w:p>
      <w:r>
        <w:br w:type="page"/>
      </w:r>
    </w:p>
    <w:p>
      <w:pPr>
        <w:pStyle w:val="Heading1"/>
        <w:pBdr>
          <w:bottom w:val="single" w:color="C00000" w:sz="8" w:space="4"/>
        </w:pBdr>
        <w:spacing w:after="300"/>
      </w:pPr>
      <w:r>
        <w:rPr>
          <w:b/>
          <w:bCs/>
          <w:color w:val="C00000"/>
          <w:sz w:val="32"/>
          <w:szCs w:val="32"/>
        </w:rPr>
        <w:t xml:space="preserve">Section 1: Surgical Infections</w:t>
      </w:r>
    </w:p>
    <w:p>
      <w:pPr>
        <w:spacing w:after="120" w:before="300"/>
      </w:pPr>
      <w:r>
        <w:rPr>
          <w:b/>
          <w:bCs/>
          <w:sz w:val="24"/>
          <w:szCs w:val="24"/>
        </w:rPr>
        <w:t xml:space="preserve">1. </w:t>
      </w:r>
      <w:r>
        <w:rPr>
          <w:sz w:val="24"/>
          <w:szCs w:val="24"/>
        </w:rPr>
        <w:t xml:space="preserve">A 58-year-old man undergoes emergency laparotomy for perforated appendicitis. On day 10, purulent discharge collects deep to the fascia with fever and localized tenderness, but the skin and subcutaneous layers appear healthy. Imaging shows a collection in the peritoneal cavity near the anastomotic site.</w:t>
      </w:r>
    </w:p>
    <w:p>
      <w:pPr>
        <w:spacing w:after="120"/>
      </w:pPr>
      <w:r>
        <w:rPr>
          <w:i/>
          <w:iCs/>
          <w:sz w:val="24"/>
          <w:szCs w:val="24"/>
        </w:rPr>
        <w:t xml:space="preserve">According to CDC/NHSN criteria, how should this surgical site infection be classified?</w:t>
      </w:r>
    </w:p>
    <w:p>
      <w:pPr>
        <w:spacing w:after="60"/>
        <w:ind w:left="360"/>
      </w:pPr>
      <w:r>
        <w:rPr>
          <w:b/>
          <w:bCs/>
          <w:sz w:val="22"/>
          <w:szCs w:val="22"/>
        </w:rPr>
        <w:t xml:space="preserve">A) </w:t>
      </w:r>
      <w:r>
        <w:rPr>
          <w:sz w:val="22"/>
          <w:szCs w:val="22"/>
        </w:rPr>
        <w:t xml:space="preserve">Deep incisional SSI</w:t>
      </w:r>
    </w:p>
    <w:p>
      <w:pPr>
        <w:spacing w:after="60"/>
        <w:ind w:left="360"/>
      </w:pPr>
      <w:r>
        <w:rPr>
          <w:b/>
          <w:bCs/>
          <w:sz w:val="22"/>
          <w:szCs w:val="22"/>
        </w:rPr>
        <w:t xml:space="preserve">B) </w:t>
      </w:r>
      <w:r>
        <w:rPr>
          <w:sz w:val="22"/>
          <w:szCs w:val="22"/>
        </w:rPr>
        <w:t xml:space="preserve">Organ/space SSI</w:t>
      </w:r>
    </w:p>
    <w:p>
      <w:pPr>
        <w:spacing w:after="60"/>
        <w:ind w:left="360"/>
      </w:pPr>
      <w:r>
        <w:rPr>
          <w:b/>
          <w:bCs/>
          <w:sz w:val="22"/>
          <w:szCs w:val="22"/>
        </w:rPr>
        <w:t xml:space="preserve">C) </w:t>
      </w:r>
      <w:r>
        <w:rPr>
          <w:sz w:val="22"/>
          <w:szCs w:val="22"/>
        </w:rPr>
        <w:t xml:space="preserve">Primary bloodstream infection</w:t>
      </w:r>
    </w:p>
    <w:p>
      <w:pPr>
        <w:spacing w:after="60"/>
        <w:ind w:left="360"/>
      </w:pPr>
      <w:r>
        <w:rPr>
          <w:b/>
          <w:bCs/>
          <w:sz w:val="22"/>
          <w:szCs w:val="22"/>
        </w:rPr>
        <w:t xml:space="preserve">D) </w:t>
      </w:r>
      <w:r>
        <w:rPr>
          <w:sz w:val="22"/>
          <w:szCs w:val="22"/>
        </w:rPr>
        <w:t xml:space="preserve">Secondary peritonitis (not classified as an SSI)</w:t>
      </w:r>
    </w:p>
    <w:p>
      <w:pPr>
        <w:spacing w:after="60"/>
        <w:ind w:left="360"/>
      </w:pPr>
      <w:r>
        <w:rPr>
          <w:b/>
          <w:bCs/>
          <w:sz w:val="22"/>
          <w:szCs w:val="22"/>
        </w:rPr>
        <w:t xml:space="preserve">E) </w:t>
      </w:r>
      <w:r>
        <w:rPr>
          <w:sz w:val="22"/>
          <w:szCs w:val="22"/>
        </w:rPr>
        <w:t xml:space="preserve">Superficial incisional SSI</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deep incisional SSI is confined to fascial/muscle layers of the incision itself; here the collection is intra-abdominal, away from the incision.</w:t>
      </w:r>
    </w:p>
    <w:p>
      <w:pPr>
        <w:spacing w:after="40"/>
        <w:ind w:left="360"/>
      </w:pPr>
      <w:r>
        <w:rPr>
          <w:b/>
          <w:bCs/>
          <w:sz w:val="20"/>
          <w:szCs w:val="20"/>
        </w:rPr>
        <w:t xml:space="preserve">B) </w:t>
      </w:r>
      <w:r>
        <w:rPr>
          <w:sz w:val="20"/>
          <w:szCs w:val="20"/>
        </w:rPr>
        <w:t xml:space="preserve">Correct — Organ/space SSI involves any part of the anatomy (other than the incision) that was opened or manipulated during the operation — here, an intra-peritoneal collection near the bowel anastomosis, occurring within 30 days of surgery.</w:t>
      </w:r>
    </w:p>
    <w:p>
      <w:pPr>
        <w:spacing w:after="40"/>
        <w:ind w:left="360"/>
      </w:pPr>
      <w:r>
        <w:rPr>
          <w:b/>
          <w:bCs/>
          <w:sz w:val="20"/>
          <w:szCs w:val="20"/>
        </w:rPr>
        <w:t xml:space="preserve">C) </w:t>
      </w:r>
      <w:r>
        <w:rPr>
          <w:sz w:val="20"/>
          <w:szCs w:val="20"/>
        </w:rPr>
        <w:t xml:space="preserve">Incorrect — no evidence of a line-related or primary bacteremia; the source is a localized intra-abdominal collection.</w:t>
      </w:r>
    </w:p>
    <w:p>
      <w:pPr>
        <w:spacing w:after="40"/>
        <w:ind w:left="360"/>
      </w:pPr>
      <w:r>
        <w:rPr>
          <w:b/>
          <w:bCs/>
          <w:sz w:val="20"/>
          <w:szCs w:val="20"/>
        </w:rPr>
        <w:t xml:space="preserve">D) </w:t>
      </w:r>
      <w:r>
        <w:rPr>
          <w:sz w:val="20"/>
          <w:szCs w:val="20"/>
        </w:rPr>
        <w:t xml:space="preserve">Incorrect — this scenario meets CDC/NHSN criteria for a postoperative SSI; it is not excluded as "secondary."</w:t>
      </w:r>
    </w:p>
    <w:p>
      <w:pPr>
        <w:spacing w:after="40"/>
        <w:ind w:left="360"/>
      </w:pPr>
      <w:r>
        <w:rPr>
          <w:b/>
          <w:bCs/>
          <w:sz w:val="20"/>
          <w:szCs w:val="20"/>
        </w:rPr>
        <w:t xml:space="preserve">E) </w:t>
      </w:r>
      <w:r>
        <w:rPr>
          <w:sz w:val="20"/>
          <w:szCs w:val="20"/>
        </w:rPr>
        <w:t xml:space="preserve">Incorrect — skin and subcutaneous tissue are explicitly healthy.</w:t>
      </w:r>
    </w:p>
    <w:p>
      <w:pPr>
        <w:spacing w:after="200"/>
      </w:pPr>
      <w:r>
        <w:rPr>
          <w:i/>
          <w:iCs/>
          <w:color w:val="595959"/>
          <w:sz w:val="16"/>
          <w:szCs w:val="16"/>
        </w:rPr>
        <w:t xml:space="preserve">Source: CDC/NHSN — Surgical Site Infection (SSI) Event, FAQs — https://www.cdc.gov/nhsn/faqs/faq-ssi.html</w:t>
      </w:r>
    </w:p>
    <w:p>
      <w:pPr>
        <w:spacing w:after="120" w:before="300"/>
      </w:pPr>
      <w:r>
        <w:rPr>
          <w:b/>
          <w:bCs/>
          <w:sz w:val="24"/>
          <w:szCs w:val="24"/>
        </w:rPr>
        <w:t xml:space="preserve">2. </w:t>
      </w:r>
      <w:r>
        <w:rPr>
          <w:sz w:val="24"/>
          <w:szCs w:val="24"/>
        </w:rPr>
        <w:t xml:space="preserve">A 45-year-old diabetic man presents with a two-day history of severe leg pain out of proportion to visible skin changes, low-grade fever, and rapidly spreading erythema. Skin shows bullae and grayish discoloration. Crepitus is palpable, and he appears more systemically toxic than the local findings suggest.</w:t>
      </w:r>
    </w:p>
    <w:p>
      <w:pPr>
        <w:spacing w:after="120"/>
      </w:pPr>
      <w:r>
        <w:rPr>
          <w:i/>
          <w:iCs/>
          <w:sz w:val="24"/>
          <w:szCs w:val="24"/>
        </w:rPr>
        <w:t xml:space="preserve">What is the single most important next step in management?</w:t>
      </w:r>
    </w:p>
    <w:p>
      <w:pPr>
        <w:spacing w:after="60"/>
        <w:ind w:left="360"/>
      </w:pPr>
      <w:r>
        <w:rPr>
          <w:b/>
          <w:bCs/>
          <w:sz w:val="22"/>
          <w:szCs w:val="22"/>
        </w:rPr>
        <w:t xml:space="preserve">A) </w:t>
      </w:r>
      <w:r>
        <w:rPr>
          <w:sz w:val="22"/>
          <w:szCs w:val="22"/>
        </w:rPr>
        <w:t xml:space="preserve">Broad-spectrum intravenous antibiotics alone, with reassessment in 24 hours</w:t>
      </w:r>
    </w:p>
    <w:p>
      <w:pPr>
        <w:spacing w:after="60"/>
        <w:ind w:left="360"/>
      </w:pPr>
      <w:r>
        <w:rPr>
          <w:b/>
          <w:bCs/>
          <w:sz w:val="22"/>
          <w:szCs w:val="22"/>
        </w:rPr>
        <w:t xml:space="preserve">B) </w:t>
      </w:r>
      <w:r>
        <w:rPr>
          <w:sz w:val="22"/>
          <w:szCs w:val="22"/>
        </w:rPr>
        <w:t xml:space="preserve">CT scan of the leg to confirm the diagnosis before any intervention</w:t>
      </w:r>
    </w:p>
    <w:p>
      <w:pPr>
        <w:spacing w:after="60"/>
        <w:ind w:left="360"/>
      </w:pPr>
      <w:r>
        <w:rPr>
          <w:b/>
          <w:bCs/>
          <w:sz w:val="22"/>
          <w:szCs w:val="22"/>
        </w:rPr>
        <w:t xml:space="preserve">C) </w:t>
      </w:r>
      <w:r>
        <w:rPr>
          <w:sz w:val="22"/>
          <w:szCs w:val="22"/>
        </w:rPr>
        <w:t xml:space="preserve">Hyperbaric oxygen therapy as first-line treatment</w:t>
      </w:r>
    </w:p>
    <w:p>
      <w:pPr>
        <w:spacing w:after="60"/>
        <w:ind w:left="360"/>
      </w:pPr>
      <w:r>
        <w:rPr>
          <w:b/>
          <w:bCs/>
          <w:sz w:val="22"/>
          <w:szCs w:val="22"/>
        </w:rPr>
        <w:t xml:space="preserve">D) </w:t>
      </w:r>
      <w:r>
        <w:rPr>
          <w:sz w:val="22"/>
          <w:szCs w:val="22"/>
        </w:rPr>
        <w:t xml:space="preserve">Immediate surgical exploration and debridement</w:t>
      </w:r>
    </w:p>
    <w:p>
      <w:pPr>
        <w:spacing w:after="60"/>
        <w:ind w:left="360"/>
      </w:pPr>
      <w:r>
        <w:rPr>
          <w:b/>
          <w:bCs/>
          <w:sz w:val="22"/>
          <w:szCs w:val="22"/>
        </w:rPr>
        <w:t xml:space="preserve">E) </w:t>
      </w:r>
      <w:r>
        <w:rPr>
          <w:sz w:val="22"/>
          <w:szCs w:val="22"/>
        </w:rPr>
        <w:t xml:space="preserve">Intravenous immunoglobulin therapy</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antibiotics alone without source control delay definitive treatment; delay in debridement raises mortality.</w:t>
      </w:r>
    </w:p>
    <w:p>
      <w:pPr>
        <w:spacing w:after="40"/>
        <w:ind w:left="360"/>
      </w:pPr>
      <w:r>
        <w:rPr>
          <w:b/>
          <w:bCs/>
          <w:sz w:val="20"/>
          <w:szCs w:val="20"/>
        </w:rPr>
        <w:t xml:space="preserve">B) </w:t>
      </w:r>
      <w:r>
        <w:rPr>
          <w:sz w:val="20"/>
          <w:szCs w:val="20"/>
        </w:rPr>
        <w:t xml:space="preserve">Incorrect — necrotizing fasciitis is primarily a clinical diagnosis; imaging delays life-saving surgery.</w:t>
      </w:r>
    </w:p>
    <w:p>
      <w:pPr>
        <w:spacing w:after="40"/>
        <w:ind w:left="360"/>
      </w:pPr>
      <w:r>
        <w:rPr>
          <w:b/>
          <w:bCs/>
          <w:sz w:val="20"/>
          <w:szCs w:val="20"/>
        </w:rPr>
        <w:t xml:space="preserve">C) </w:t>
      </w:r>
      <w:r>
        <w:rPr>
          <w:sz w:val="20"/>
          <w:szCs w:val="20"/>
        </w:rPr>
        <w:t xml:space="preserve">Incorrect — hyperbaric oxygen is adjunctive at best, never a substitute for surgery.</w:t>
      </w:r>
    </w:p>
    <w:p>
      <w:pPr>
        <w:spacing w:after="40"/>
        <w:ind w:left="360"/>
      </w:pPr>
      <w:r>
        <w:rPr>
          <w:b/>
          <w:bCs/>
          <w:sz w:val="20"/>
          <w:szCs w:val="20"/>
        </w:rPr>
        <w:t xml:space="preserve">D) </w:t>
      </w:r>
      <w:r>
        <w:rPr>
          <w:sz w:val="20"/>
          <w:szCs w:val="20"/>
        </w:rPr>
        <w:t xml:space="preserve">Correct — prompt surgical debridement of necrotic fascia is the definitive, mortality-reducing treatment.</w:t>
      </w:r>
    </w:p>
    <w:p>
      <w:pPr>
        <w:spacing w:after="40"/>
        <w:ind w:left="360"/>
      </w:pPr>
      <w:r>
        <w:rPr>
          <w:b/>
          <w:bCs/>
          <w:sz w:val="20"/>
          <w:szCs w:val="20"/>
        </w:rPr>
        <w:t xml:space="preserve">E) </w:t>
      </w:r>
      <w:r>
        <w:rPr>
          <w:sz w:val="20"/>
          <w:szCs w:val="20"/>
        </w:rPr>
        <w:t xml:space="preserve">Incorrect — IVIG is adjunctive in some streptococcal toxic shock cases, not the primary step.</w:t>
      </w:r>
    </w:p>
    <w:p>
      <w:pPr>
        <w:spacing w:after="200"/>
      </w:pPr>
      <w:r>
        <w:rPr>
          <w:i/>
          <w:iCs/>
          <w:color w:val="595959"/>
          <w:sz w:val="16"/>
          <w:szCs w:val="16"/>
        </w:rPr>
        <w:t xml:space="preserve">Source: PMC — Necrotizing soft tissue infection management review — https://pmc.ncbi.nlm.nih.gov/articles/PMC6980593</w:t>
      </w:r>
    </w:p>
    <w:p>
      <w:pPr>
        <w:spacing w:after="120" w:before="300"/>
      </w:pPr>
      <w:r>
        <w:rPr>
          <w:b/>
          <w:bCs/>
          <w:sz w:val="24"/>
          <w:szCs w:val="24"/>
        </w:rPr>
        <w:t xml:space="preserve">3. </w:t>
      </w:r>
      <w:r>
        <w:rPr>
          <w:sz w:val="24"/>
          <w:szCs w:val="24"/>
        </w:rPr>
        <w:t xml:space="preserve">A 35-year-old woman is scheduled for an elective open cholecystectomy. The surgical team plans to give a single dose of intravenous cefazolin for prophylaxis. To minimize the risk of surgical site infection according to WHO guidelines, at what time should the antibiotic ideally be administered relative to skin incision?</w:t>
      </w:r>
    </w:p>
    <w:p>
      <w:pPr>
        <w:spacing w:after="120"/>
      </w:pPr>
      <w:r>
        <w:rPr>
          <w:i/>
          <w:iCs/>
          <w:sz w:val="24"/>
          <w:szCs w:val="24"/>
        </w:rPr>
        <w:t xml:space="preserve">At what time should the antibiotic ideally be administered relative to skin incision?</w:t>
      </w:r>
    </w:p>
    <w:p>
      <w:pPr>
        <w:spacing w:after="60"/>
        <w:ind w:left="360"/>
      </w:pPr>
      <w:r>
        <w:rPr>
          <w:b/>
          <w:bCs/>
          <w:sz w:val="22"/>
          <w:szCs w:val="22"/>
        </w:rPr>
        <w:t xml:space="preserve">A) </w:t>
      </w:r>
      <w:r>
        <w:rPr>
          <w:sz w:val="22"/>
          <w:szCs w:val="22"/>
        </w:rPr>
        <w:t xml:space="preserve">After skin closure, before the patient leaves theatre</w:t>
      </w:r>
    </w:p>
    <w:p>
      <w:pPr>
        <w:spacing w:after="60"/>
        <w:ind w:left="360"/>
      </w:pPr>
      <w:r>
        <w:rPr>
          <w:b/>
          <w:bCs/>
          <w:sz w:val="22"/>
          <w:szCs w:val="22"/>
        </w:rPr>
        <w:t xml:space="preserve">B) </w:t>
      </w:r>
      <w:r>
        <w:rPr>
          <w:sz w:val="22"/>
          <w:szCs w:val="22"/>
        </w:rPr>
        <w:t xml:space="preserve">At induction of anaesthesia, only if surgery is expected to be prolonged</w:t>
      </w:r>
    </w:p>
    <w:p>
      <w:pPr>
        <w:spacing w:after="60"/>
        <w:ind w:left="360"/>
      </w:pPr>
      <w:r>
        <w:rPr>
          <w:b/>
          <w:bCs/>
          <w:sz w:val="22"/>
          <w:szCs w:val="22"/>
        </w:rPr>
        <w:t xml:space="preserve">C) </w:t>
      </w:r>
      <w:r>
        <w:rPr>
          <w:sz w:val="22"/>
          <w:szCs w:val="22"/>
        </w:rPr>
        <w:t xml:space="preserve">More than 120 minutes before incision, to ensure adequate tissue levels</w:t>
      </w:r>
    </w:p>
    <w:p>
      <w:pPr>
        <w:spacing w:after="60"/>
        <w:ind w:left="360"/>
      </w:pPr>
      <w:r>
        <w:rPr>
          <w:b/>
          <w:bCs/>
          <w:sz w:val="22"/>
          <w:szCs w:val="22"/>
        </w:rPr>
        <w:t xml:space="preserve">D) </w:t>
      </w:r>
      <w:r>
        <w:rPr>
          <w:sz w:val="22"/>
          <w:szCs w:val="22"/>
        </w:rPr>
        <w:t xml:space="preserve">Within 60 minutes before incision</w:t>
      </w:r>
    </w:p>
    <w:p>
      <w:pPr>
        <w:spacing w:after="60"/>
        <w:ind w:left="360"/>
      </w:pPr>
      <w:r>
        <w:rPr>
          <w:b/>
          <w:bCs/>
          <w:sz w:val="22"/>
          <w:szCs w:val="22"/>
        </w:rPr>
        <w:t xml:space="preserve">E) </w:t>
      </w:r>
      <w:r>
        <w:rPr>
          <w:sz w:val="22"/>
          <w:szCs w:val="22"/>
        </w:rPr>
        <w:t xml:space="preserve">Within 24 hours before incision, at any convenient time</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post-incision/post-closure dosing raises SSI risk (OR 1.89) versus pre-incision dosing.</w:t>
      </w:r>
    </w:p>
    <w:p>
      <w:pPr>
        <w:spacing w:after="40"/>
        <w:ind w:left="360"/>
      </w:pPr>
      <w:r>
        <w:rPr>
          <w:b/>
          <w:bCs/>
          <w:sz w:val="20"/>
          <w:szCs w:val="20"/>
        </w:rPr>
        <w:t xml:space="preserve">B) </w:t>
      </w:r>
      <w:r>
        <w:rPr>
          <w:sz w:val="20"/>
          <w:szCs w:val="20"/>
        </w:rPr>
        <w:t xml:space="preserve">Incorrect — timing is not contingent on anticipated surgical duration.</w:t>
      </w:r>
    </w:p>
    <w:p>
      <w:pPr>
        <w:spacing w:after="40"/>
        <w:ind w:left="360"/>
      </w:pPr>
      <w:r>
        <w:rPr>
          <w:b/>
          <w:bCs/>
          <w:sz w:val="20"/>
          <w:szCs w:val="20"/>
        </w:rPr>
        <w:t xml:space="preserve">C) </w:t>
      </w:r>
      <w:r>
        <w:rPr>
          <w:sz w:val="20"/>
          <w:szCs w:val="20"/>
        </w:rPr>
        <w:t xml:space="preserve">Incorrect — delaying beyond 120 minutes before incision significantly raises SSI risk (OR 5.26).</w:t>
      </w:r>
    </w:p>
    <w:p>
      <w:pPr>
        <w:spacing w:after="40"/>
        <w:ind w:left="360"/>
      </w:pPr>
      <w:r>
        <w:rPr>
          <w:b/>
          <w:bCs/>
          <w:sz w:val="20"/>
          <w:szCs w:val="20"/>
        </w:rPr>
        <w:t xml:space="preserve">D) </w:t>
      </w:r>
      <w:r>
        <w:rPr>
          <w:sz w:val="20"/>
          <w:szCs w:val="20"/>
        </w:rPr>
        <w:t xml:space="preserve">Correct — WHO recommends administration within 60 minutes before incision for short-half-life agents like cefazolin, ensuring adequate tissue levels at the time of incision.</w:t>
      </w:r>
    </w:p>
    <w:p>
      <w:pPr>
        <w:spacing w:after="40"/>
        <w:ind w:left="360"/>
      </w:pPr>
      <w:r>
        <w:rPr>
          <w:b/>
          <w:bCs/>
          <w:sz w:val="20"/>
          <w:szCs w:val="20"/>
        </w:rPr>
        <w:t xml:space="preserve">E) </w:t>
      </w:r>
      <w:r>
        <w:rPr>
          <w:sz w:val="20"/>
          <w:szCs w:val="20"/>
        </w:rPr>
        <w:t xml:space="preserve">Incorrect — evidence shows risk rises sharply once the 120-minute pre-incision window is exceeded; "any convenient time" ignores this.</w:t>
      </w:r>
    </w:p>
    <w:p>
      <w:pPr>
        <w:spacing w:after="200"/>
      </w:pPr>
      <w:r>
        <w:rPr>
          <w:i/>
          <w:iCs/>
          <w:color w:val="595959"/>
          <w:sz w:val="16"/>
          <w:szCs w:val="16"/>
        </w:rPr>
        <w:t xml:space="preserve">Source: WHO Global Guidelines for the Prevention of SSI — NCBI Bookshelf — https://www.ncbi.nlm.nih.gov/books/NBK536435/</w:t>
      </w:r>
    </w:p>
    <w:p>
      <w:pPr>
        <w:spacing w:after="120" w:before="300"/>
      </w:pPr>
      <w:r>
        <w:rPr>
          <w:b/>
          <w:bCs/>
          <w:sz w:val="24"/>
          <w:szCs w:val="24"/>
        </w:rPr>
        <w:t xml:space="preserve">4. </w:t>
      </w:r>
      <w:r>
        <w:rPr>
          <w:sz w:val="24"/>
          <w:szCs w:val="24"/>
        </w:rPr>
        <w:t xml:space="preserve">A 70-year-old man on the surgical ward, day 3 after bowel resection, becomes confused and drowsy. His respiratory rate is 26/min, systolic blood pressure is 92 mmHg, and he has a suspected anastomotic leak. His GCS has dropped from 15 to 13.</w:t>
      </w:r>
    </w:p>
    <w:p>
      <w:pPr>
        <w:spacing w:after="120"/>
      </w:pPr>
      <w:r>
        <w:rPr>
          <w:i/>
          <w:iCs/>
          <w:sz w:val="24"/>
          <w:szCs w:val="24"/>
        </w:rPr>
        <w:t xml:space="preserve">Based on qSOFA criteria, how many of the three criteria does he meet, and what does this indicate?</w:t>
      </w:r>
    </w:p>
    <w:p>
      <w:pPr>
        <w:spacing w:after="60"/>
        <w:ind w:left="360"/>
      </w:pPr>
      <w:r>
        <w:rPr>
          <w:b/>
          <w:bCs/>
          <w:sz w:val="22"/>
          <w:szCs w:val="22"/>
        </w:rPr>
        <w:t xml:space="preserve">A) </w:t>
      </w:r>
      <w:r>
        <w:rPr>
          <w:sz w:val="22"/>
          <w:szCs w:val="22"/>
        </w:rPr>
        <w:t xml:space="preserve">One criterion met; sepsis is unlikely</w:t>
      </w:r>
    </w:p>
    <w:p>
      <w:pPr>
        <w:spacing w:after="60"/>
        <w:ind w:left="360"/>
      </w:pPr>
      <w:r>
        <w:rPr>
          <w:b/>
          <w:bCs/>
          <w:sz w:val="22"/>
          <w:szCs w:val="22"/>
        </w:rPr>
        <w:t xml:space="preserve">B) </w:t>
      </w:r>
      <w:r>
        <w:rPr>
          <w:sz w:val="22"/>
          <w:szCs w:val="22"/>
        </w:rPr>
        <w:t xml:space="preserve">Three criteria met; associated with higher risk of sepsis-related mortality — urgent senior review and escalation indicated</w:t>
      </w:r>
    </w:p>
    <w:p>
      <w:pPr>
        <w:spacing w:after="60"/>
        <w:ind w:left="360"/>
      </w:pPr>
      <w:r>
        <w:rPr>
          <w:b/>
          <w:bCs/>
          <w:sz w:val="22"/>
          <w:szCs w:val="22"/>
        </w:rPr>
        <w:t xml:space="preserve">C) </w:t>
      </w:r>
      <w:r>
        <w:rPr>
          <w:sz w:val="22"/>
          <w:szCs w:val="22"/>
        </w:rPr>
        <w:t xml:space="preserve">Two criteria met; low clinical concern</w:t>
      </w:r>
    </w:p>
    <w:p>
      <w:pPr>
        <w:spacing w:after="60"/>
        <w:ind w:left="360"/>
      </w:pPr>
      <w:r>
        <w:rPr>
          <w:b/>
          <w:bCs/>
          <w:sz w:val="22"/>
          <w:szCs w:val="22"/>
        </w:rPr>
        <w:t xml:space="preserve">D) </w:t>
      </w:r>
      <w:r>
        <w:rPr>
          <w:sz w:val="22"/>
          <w:szCs w:val="22"/>
        </w:rPr>
        <w:t xml:space="preserve">Zero criteria met; continue routine ward observation</w:t>
      </w:r>
    </w:p>
    <w:p>
      <w:pPr>
        <w:spacing w:after="60"/>
        <w:ind w:left="360"/>
      </w:pPr>
      <w:r>
        <w:rPr>
          <w:b/>
          <w:bCs/>
          <w:sz w:val="22"/>
          <w:szCs w:val="22"/>
        </w:rPr>
        <w:t xml:space="preserve">E) </w:t>
      </w:r>
      <w:r>
        <w:rPr>
          <w:sz w:val="22"/>
          <w:szCs w:val="22"/>
        </w:rPr>
        <w:t xml:space="preserve">qSOFA cannot be applied in postoperative ward patients</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undercounts; he meets all three criteria.</w:t>
      </w:r>
    </w:p>
    <w:p>
      <w:pPr>
        <w:spacing w:after="40"/>
        <w:ind w:left="360"/>
      </w:pPr>
      <w:r>
        <w:rPr>
          <w:b/>
          <w:bCs/>
          <w:sz w:val="20"/>
          <w:szCs w:val="20"/>
        </w:rPr>
        <w:t xml:space="preserve">B) </w:t>
      </w:r>
      <w:r>
        <w:rPr>
          <w:sz w:val="20"/>
          <w:szCs w:val="20"/>
        </w:rPr>
        <w:t xml:space="preserve">Correct — qSOFA = respiratory rate ≥22 (26 present), systolic BP ≤100 mmHg (92 present), altered mentation/GCS &lt;15 (13 present). All three are met; a qSOFA ≥2 is associated with mortality &gt;10%, and per Sepsis-3 this should trigger urgent escalation and search for the infective source (likely the leak).</w:t>
      </w:r>
    </w:p>
    <w:p>
      <w:pPr>
        <w:spacing w:after="40"/>
        <w:ind w:left="360"/>
      </w:pPr>
      <w:r>
        <w:rPr>
          <w:b/>
          <w:bCs/>
          <w:sz w:val="20"/>
          <w:szCs w:val="20"/>
        </w:rPr>
        <w:t xml:space="preserve">C) </w:t>
      </w:r>
      <w:r>
        <w:rPr>
          <w:sz w:val="20"/>
          <w:szCs w:val="20"/>
        </w:rPr>
        <w:t xml:space="preserve">Incorrect — undercounts.</w:t>
      </w:r>
    </w:p>
    <w:p>
      <w:pPr>
        <w:spacing w:after="40"/>
        <w:ind w:left="360"/>
      </w:pPr>
      <w:r>
        <w:rPr>
          <w:b/>
          <w:bCs/>
          <w:sz w:val="20"/>
          <w:szCs w:val="20"/>
        </w:rPr>
        <w:t xml:space="preserve">D) </w:t>
      </w:r>
      <w:r>
        <w:rPr>
          <w:sz w:val="20"/>
          <w:szCs w:val="20"/>
        </w:rPr>
        <w:t xml:space="preserve">Incorrect — undercounts.</w:t>
      </w:r>
    </w:p>
    <w:p>
      <w:pPr>
        <w:spacing w:after="40"/>
        <w:ind w:left="360"/>
      </w:pPr>
      <w:r>
        <w:rPr>
          <w:b/>
          <w:bCs/>
          <w:sz w:val="20"/>
          <w:szCs w:val="20"/>
        </w:rPr>
        <w:t xml:space="preserve">E) </w:t>
      </w:r>
      <w:r>
        <w:rPr>
          <w:sz w:val="20"/>
          <w:szCs w:val="20"/>
        </w:rPr>
        <w:t xml:space="preserve">Incorrect — qSOFA was designed for use outside the ICU, including ward settings, though it has known limited sensitivity.</w:t>
      </w:r>
    </w:p>
    <w:p>
      <w:pPr>
        <w:spacing w:after="200"/>
      </w:pPr>
      <w:r>
        <w:rPr>
          <w:i/>
          <w:iCs/>
          <w:color w:val="595959"/>
          <w:sz w:val="16"/>
          <w:szCs w:val="16"/>
        </w:rPr>
        <w:t xml:space="preserve">Source: PMC — qSOFA/Sepsis-3 criteria review — https://www.ncbi.nlm.nih.gov/pmc/articles/PMC8563787/</w:t>
      </w:r>
    </w:p>
    <w:p>
      <w:pPr>
        <w:spacing w:after="120" w:before="300"/>
      </w:pPr>
      <w:r>
        <w:rPr>
          <w:b/>
          <w:bCs/>
          <w:sz w:val="24"/>
          <w:szCs w:val="24"/>
        </w:rPr>
        <w:t xml:space="preserve">5. </w:t>
      </w:r>
      <w:r>
        <w:rPr>
          <w:sz w:val="24"/>
          <w:szCs w:val="24"/>
        </w:rPr>
        <w:t xml:space="preserve">Two days after a road traffic accident with a contaminated open tibial fracture, a 30-year-old man develops severe pain out of proportion to examination, brownish serosanguinous discharge with a foul sweet odor, and crepitus around the wound. Gas is visible between muscle fibers on plain radiograph.</w:t>
      </w:r>
    </w:p>
    <w:p>
      <w:pPr>
        <w:spacing w:after="120"/>
      </w:pPr>
      <w:r>
        <w:rPr>
          <w:i/>
          <w:iCs/>
          <w:sz w:val="24"/>
          <w:szCs w:val="24"/>
        </w:rPr>
        <w:t xml:space="preserve">Which combination of antibiotics is recommended as first-line treatment alongside urgent surgical debridement?</w:t>
      </w:r>
    </w:p>
    <w:p>
      <w:pPr>
        <w:spacing w:after="60"/>
        <w:ind w:left="360"/>
      </w:pPr>
      <w:r>
        <w:rPr>
          <w:b/>
          <w:bCs/>
          <w:sz w:val="22"/>
          <w:szCs w:val="22"/>
        </w:rPr>
        <w:t xml:space="preserve">A) </w:t>
      </w:r>
      <w:r>
        <w:rPr>
          <w:sz w:val="22"/>
          <w:szCs w:val="22"/>
        </w:rPr>
        <w:t xml:space="preserve">Ceftriaxone plus metronidazole</w:t>
      </w:r>
    </w:p>
    <w:p>
      <w:pPr>
        <w:spacing w:after="60"/>
        <w:ind w:left="360"/>
      </w:pPr>
      <w:r>
        <w:rPr>
          <w:b/>
          <w:bCs/>
          <w:sz w:val="22"/>
          <w:szCs w:val="22"/>
        </w:rPr>
        <w:t xml:space="preserve">B) </w:t>
      </w:r>
      <w:r>
        <w:rPr>
          <w:sz w:val="22"/>
          <w:szCs w:val="22"/>
        </w:rPr>
        <w:t xml:space="preserve">Ciprofloxacin plus doxycycline</w:t>
      </w:r>
    </w:p>
    <w:p>
      <w:pPr>
        <w:spacing w:after="60"/>
        <w:ind w:left="360"/>
      </w:pPr>
      <w:r>
        <w:rPr>
          <w:b/>
          <w:bCs/>
          <w:sz w:val="22"/>
          <w:szCs w:val="22"/>
        </w:rPr>
        <w:t xml:space="preserve">C) </w:t>
      </w:r>
      <w:r>
        <w:rPr>
          <w:sz w:val="22"/>
          <w:szCs w:val="22"/>
        </w:rPr>
        <w:t xml:space="preserve">Penicillin plus clindamycin</w:t>
      </w:r>
    </w:p>
    <w:p>
      <w:pPr>
        <w:spacing w:after="60"/>
        <w:ind w:left="360"/>
      </w:pPr>
      <w:r>
        <w:rPr>
          <w:b/>
          <w:bCs/>
          <w:sz w:val="22"/>
          <w:szCs w:val="22"/>
        </w:rPr>
        <w:t xml:space="preserve">D) </w:t>
      </w:r>
      <w:r>
        <w:rPr>
          <w:sz w:val="22"/>
          <w:szCs w:val="22"/>
        </w:rPr>
        <w:t xml:space="preserve">Piperacillin-tazobactam alone</w:t>
      </w:r>
    </w:p>
    <w:p>
      <w:pPr>
        <w:spacing w:after="60"/>
        <w:ind w:left="360"/>
      </w:pPr>
      <w:r>
        <w:rPr>
          <w:b/>
          <w:bCs/>
          <w:sz w:val="22"/>
          <w:szCs w:val="22"/>
        </w:rPr>
        <w:t xml:space="preserve">E) </w:t>
      </w:r>
      <w:r>
        <w:rPr>
          <w:sz w:val="22"/>
          <w:szCs w:val="22"/>
        </w:rPr>
        <w:t xml:space="preserve">Vancomycin plus gentamicin</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reasonable broad cover, but not the specific first-line regimen for confirmed clostridial gas gangrene.</w:t>
      </w:r>
    </w:p>
    <w:p>
      <w:pPr>
        <w:spacing w:after="40"/>
        <w:ind w:left="360"/>
      </w:pPr>
      <w:r>
        <w:rPr>
          <w:b/>
          <w:bCs/>
          <w:sz w:val="20"/>
          <w:szCs w:val="20"/>
        </w:rPr>
        <w:t xml:space="preserve">B) </w:t>
      </w:r>
      <w:r>
        <w:rPr>
          <w:sz w:val="20"/>
          <w:szCs w:val="20"/>
        </w:rPr>
        <w:t xml:space="preserve">Incorrect — not appropriate first-line cover for an anaerobic clostridial infection.</w:t>
      </w:r>
    </w:p>
    <w:p>
      <w:pPr>
        <w:spacing w:after="40"/>
        <w:ind w:left="360"/>
      </w:pPr>
      <w:r>
        <w:rPr>
          <w:b/>
          <w:bCs/>
          <w:sz w:val="20"/>
          <w:szCs w:val="20"/>
        </w:rPr>
        <w:t xml:space="preserve">C) </w:t>
      </w:r>
      <w:r>
        <w:rPr>
          <w:sz w:val="20"/>
          <w:szCs w:val="20"/>
        </w:rPr>
        <w:t xml:space="preserve">Correct — penicillin plus clindamycin is recommended for documented clostridial gas gangrene; clindamycin also suppresses bacterial toxin production.</w:t>
      </w:r>
    </w:p>
    <w:p>
      <w:pPr>
        <w:spacing w:after="40"/>
        <w:ind w:left="360"/>
      </w:pPr>
      <w:r>
        <w:rPr>
          <w:b/>
          <w:bCs/>
          <w:sz w:val="20"/>
          <w:szCs w:val="20"/>
        </w:rPr>
        <w:t xml:space="preserve">D) </w:t>
      </w:r>
      <w:r>
        <w:rPr>
          <w:sz w:val="20"/>
          <w:szCs w:val="20"/>
        </w:rPr>
        <w:t xml:space="preserve">Incorrect — a single agent doesn't address toxin suppression, and the question asks for a combination.</w:t>
      </w:r>
    </w:p>
    <w:p>
      <w:pPr>
        <w:spacing w:after="40"/>
        <w:ind w:left="360"/>
      </w:pPr>
      <w:r>
        <w:rPr>
          <w:b/>
          <w:bCs/>
          <w:sz w:val="20"/>
          <w:szCs w:val="20"/>
        </w:rPr>
        <w:t xml:space="preserve">E) </w:t>
      </w:r>
      <w:r>
        <w:rPr>
          <w:sz w:val="20"/>
          <w:szCs w:val="20"/>
        </w:rPr>
        <w:t xml:space="preserve">Incorrect — covers Gram-positive/negative organisms but isn't the tailored regimen for clostridial toxin-mediated disease.</w:t>
      </w:r>
    </w:p>
    <w:p>
      <w:pPr>
        <w:spacing w:after="200"/>
      </w:pPr>
      <w:r>
        <w:rPr>
          <w:i/>
          <w:iCs/>
          <w:color w:val="595959"/>
          <w:sz w:val="16"/>
          <w:szCs w:val="16"/>
        </w:rPr>
        <w:t xml:space="preserve">Source: PMC — Clostridial Myonecrosis: Toxin Pathophysiology and Management — https://pmc.ncbi.nlm.nih.gov/articles/PMC11278868/</w:t>
      </w:r>
    </w:p>
    <w:p>
      <w:r>
        <w:br w:type="page"/>
      </w:r>
    </w:p>
    <w:p>
      <w:pPr>
        <w:pStyle w:val="Heading1"/>
        <w:pBdr>
          <w:bottom w:val="single" w:color="C00000" w:sz="8" w:space="4"/>
        </w:pBdr>
        <w:spacing w:after="300"/>
      </w:pPr>
      <w:r>
        <w:rPr>
          <w:b/>
          <w:bCs/>
          <w:color w:val="C00000"/>
          <w:sz w:val="32"/>
          <w:szCs w:val="32"/>
        </w:rPr>
        <w:t xml:space="preserve">Section 2: Postoperative Care</w:t>
      </w:r>
    </w:p>
    <w:p>
      <w:pPr>
        <w:spacing w:after="120" w:before="300"/>
      </w:pPr>
      <w:r>
        <w:rPr>
          <w:b/>
          <w:bCs/>
          <w:sz w:val="24"/>
          <w:szCs w:val="24"/>
        </w:rPr>
        <w:t xml:space="preserve">1. </w:t>
      </w:r>
      <w:r>
        <w:rPr>
          <w:sz w:val="24"/>
          <w:szCs w:val="24"/>
        </w:rPr>
        <w:t xml:space="preserve">A 50-year-old woman, post-op day 1 after open cholecystectomy, develops a temperature of 38.3°C. She has decreased air entry at the right lung base, mild tachypnea, and shallow breathing due to incisional pain. Chest examination reveals no wheeze or crackles elsewhere, and her wound looks clean.</w:t>
      </w:r>
    </w:p>
    <w:p>
      <w:pPr>
        <w:spacing w:after="120"/>
      </w:pPr>
      <w:r>
        <w:rPr>
          <w:i/>
          <w:iCs/>
          <w:sz w:val="24"/>
          <w:szCs w:val="24"/>
        </w:rPr>
        <w:t xml:space="preserve">What is the most likely cause of her fever, and which postoperative day range is this consistent with?</w:t>
      </w:r>
    </w:p>
    <w:p>
      <w:pPr>
        <w:spacing w:after="60"/>
        <w:ind w:left="360"/>
      </w:pPr>
      <w:r>
        <w:rPr>
          <w:b/>
          <w:bCs/>
          <w:sz w:val="22"/>
          <w:szCs w:val="22"/>
        </w:rPr>
        <w:t xml:space="preserve">A) </w:t>
      </w:r>
      <w:r>
        <w:rPr>
          <w:sz w:val="22"/>
          <w:szCs w:val="22"/>
        </w:rPr>
        <w:t xml:space="preserve">Atelectasis; consistent with postoperative days 0–2 ("Wind")</w:t>
      </w:r>
    </w:p>
    <w:p>
      <w:pPr>
        <w:spacing w:after="60"/>
        <w:ind w:left="360"/>
      </w:pPr>
      <w:r>
        <w:rPr>
          <w:b/>
          <w:bCs/>
          <w:sz w:val="22"/>
          <w:szCs w:val="22"/>
        </w:rPr>
        <w:t xml:space="preserve">B) </w:t>
      </w:r>
      <w:r>
        <w:rPr>
          <w:sz w:val="22"/>
          <w:szCs w:val="22"/>
        </w:rPr>
        <w:t xml:space="preserve">Deep vein thrombosis; consistent with postoperative day 5 onward ("Walking")</w:t>
      </w:r>
    </w:p>
    <w:p>
      <w:pPr>
        <w:spacing w:after="60"/>
        <w:ind w:left="360"/>
      </w:pPr>
      <w:r>
        <w:rPr>
          <w:b/>
          <w:bCs/>
          <w:sz w:val="22"/>
          <w:szCs w:val="22"/>
        </w:rPr>
        <w:t xml:space="preserve">C) </w:t>
      </w:r>
      <w:r>
        <w:rPr>
          <w:sz w:val="22"/>
          <w:szCs w:val="22"/>
        </w:rPr>
        <w:t xml:space="preserve">Drug reaction; can occur at any time ("Wonder drugs")</w:t>
      </w:r>
    </w:p>
    <w:p>
      <w:pPr>
        <w:spacing w:after="60"/>
        <w:ind w:left="360"/>
      </w:pPr>
      <w:r>
        <w:rPr>
          <w:b/>
          <w:bCs/>
          <w:sz w:val="22"/>
          <w:szCs w:val="22"/>
        </w:rPr>
        <w:t xml:space="preserve">D) </w:t>
      </w:r>
      <w:r>
        <w:rPr>
          <w:sz w:val="22"/>
          <w:szCs w:val="22"/>
        </w:rPr>
        <w:t xml:space="preserve">Surgical site infection; consistent with postoperative day 5–7 ("Wound")</w:t>
      </w:r>
    </w:p>
    <w:p>
      <w:pPr>
        <w:spacing w:after="60"/>
        <w:ind w:left="360"/>
      </w:pPr>
      <w:r>
        <w:rPr>
          <w:b/>
          <w:bCs/>
          <w:sz w:val="22"/>
          <w:szCs w:val="22"/>
        </w:rPr>
        <w:t xml:space="preserve">E) </w:t>
      </w:r>
      <w:r>
        <w:rPr>
          <w:sz w:val="22"/>
          <w:szCs w:val="22"/>
        </w:rPr>
        <w:t xml:space="preserve">Urinary tract infection; consistent with postoperative day 3–5 ("Water")</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decreased air entry/tachypnea on POD1 with a clean wound is classic atelectasis, the "Wind" cause (POD 0–2), and the most common cause of early postoperative fever.</w:t>
      </w:r>
    </w:p>
    <w:p>
      <w:pPr>
        <w:spacing w:after="40"/>
        <w:ind w:left="360"/>
      </w:pPr>
      <w:r>
        <w:rPr>
          <w:b/>
          <w:bCs/>
          <w:sz w:val="20"/>
          <w:szCs w:val="20"/>
        </w:rPr>
        <w:t xml:space="preserve">B) </w:t>
      </w:r>
      <w:r>
        <w:rPr>
          <w:sz w:val="20"/>
          <w:szCs w:val="20"/>
        </w:rPr>
        <w:t xml:space="preserve">Incorrect — "Walking" (DVT) presents day 5+; no leg signs here.</w:t>
      </w:r>
    </w:p>
    <w:p>
      <w:pPr>
        <w:spacing w:after="40"/>
        <w:ind w:left="360"/>
      </w:pPr>
      <w:r>
        <w:rPr>
          <w:b/>
          <w:bCs/>
          <w:sz w:val="20"/>
          <w:szCs w:val="20"/>
        </w:rPr>
        <w:t xml:space="preserve">C) </w:t>
      </w:r>
      <w:r>
        <w:rPr>
          <w:sz w:val="20"/>
          <w:szCs w:val="20"/>
        </w:rPr>
        <w:t xml:space="preserve">Incorrect — drug fever is a diagnosis of exclusion, not the most likely explanation given clear respiratory findings.</w:t>
      </w:r>
    </w:p>
    <w:p>
      <w:pPr>
        <w:spacing w:after="40"/>
        <w:ind w:left="360"/>
      </w:pPr>
      <w:r>
        <w:rPr>
          <w:b/>
          <w:bCs/>
          <w:sz w:val="20"/>
          <w:szCs w:val="20"/>
        </w:rPr>
        <w:t xml:space="preserve">D) </w:t>
      </w:r>
      <w:r>
        <w:rPr>
          <w:sz w:val="20"/>
          <w:szCs w:val="20"/>
        </w:rPr>
        <w:t xml:space="preserve">Incorrect — wound is clean; SSI ("Wound") typically presents day 5–7.</w:t>
      </w:r>
    </w:p>
    <w:p>
      <w:pPr>
        <w:spacing w:after="40"/>
        <w:ind w:left="360"/>
      </w:pPr>
      <w:r>
        <w:rPr>
          <w:b/>
          <w:bCs/>
          <w:sz w:val="20"/>
          <w:szCs w:val="20"/>
        </w:rPr>
        <w:t xml:space="preserve">E) </w:t>
      </w:r>
      <w:r>
        <w:rPr>
          <w:sz w:val="20"/>
          <w:szCs w:val="20"/>
        </w:rPr>
        <w:t xml:space="preserve">Incorrect — UTI ("Water") typically presents day 3–5; no urinary symptoms described.</w:t>
      </w:r>
    </w:p>
    <w:p>
      <w:pPr>
        <w:spacing w:after="200"/>
      </w:pPr>
      <w:r>
        <w:rPr>
          <w:i/>
          <w:iCs/>
          <w:color w:val="595959"/>
          <w:sz w:val="16"/>
          <w:szCs w:val="16"/>
        </w:rPr>
        <w:t xml:space="preserve">Source: TeachMeSurgery — Post-Operative Fever — https://teachmesurgery.com/perioperative/on-the-wards/post-operative-fever/</w:t>
      </w:r>
    </w:p>
    <w:p>
      <w:pPr>
        <w:spacing w:after="120" w:before="300"/>
      </w:pPr>
      <w:r>
        <w:rPr>
          <w:b/>
          <w:bCs/>
          <w:sz w:val="24"/>
          <w:szCs w:val="24"/>
        </w:rPr>
        <w:t xml:space="preserve">2. </w:t>
      </w:r>
      <w:r>
        <w:rPr>
          <w:sz w:val="24"/>
          <w:szCs w:val="24"/>
        </w:rPr>
        <w:t xml:space="preserve">A 68-year-old man is undergoing an elective open major abdominal cancer resection. He has no history of a bleeding disorder. The surgical team plans thromboprophylaxis according to current guidelines for major general surgery, considering both mechanical and pharmacological measures alongside early mobilization.</w:t>
      </w:r>
    </w:p>
    <w:p>
      <w:pPr>
        <w:spacing w:after="120"/>
      </w:pPr>
      <w:r>
        <w:rPr>
          <w:i/>
          <w:iCs/>
          <w:sz w:val="24"/>
          <w:szCs w:val="24"/>
        </w:rPr>
        <w:t xml:space="preserve">What is the recommended pharmacological agent and minimum duration of thromboprophylaxis for this high-risk cancer surgery?</w:t>
      </w:r>
    </w:p>
    <w:p>
      <w:pPr>
        <w:spacing w:after="60"/>
        <w:ind w:left="360"/>
      </w:pPr>
      <w:r>
        <w:rPr>
          <w:b/>
          <w:bCs/>
          <w:sz w:val="22"/>
          <w:szCs w:val="22"/>
        </w:rPr>
        <w:t xml:space="preserve">A) </w:t>
      </w:r>
      <w:r>
        <w:rPr>
          <w:sz w:val="22"/>
          <w:szCs w:val="22"/>
        </w:rPr>
        <w:t xml:space="preserve">Aspirin, for 24 hours only</w:t>
      </w:r>
    </w:p>
    <w:p>
      <w:pPr>
        <w:spacing w:after="60"/>
        <w:ind w:left="360"/>
      </w:pPr>
      <w:r>
        <w:rPr>
          <w:b/>
          <w:bCs/>
          <w:sz w:val="22"/>
          <w:szCs w:val="22"/>
        </w:rPr>
        <w:t xml:space="preserve">B) </w:t>
      </w:r>
      <w:r>
        <w:rPr>
          <w:sz w:val="22"/>
          <w:szCs w:val="22"/>
        </w:rPr>
        <w:t xml:space="preserve">Direct oral anticoagulant, for 48 hours only</w:t>
      </w:r>
    </w:p>
    <w:p>
      <w:pPr>
        <w:spacing w:after="60"/>
        <w:ind w:left="360"/>
      </w:pPr>
      <w:r>
        <w:rPr>
          <w:b/>
          <w:bCs/>
          <w:sz w:val="22"/>
          <w:szCs w:val="22"/>
        </w:rPr>
        <w:t xml:space="preserve">C) </w:t>
      </w:r>
      <w:r>
        <w:rPr>
          <w:sz w:val="22"/>
          <w:szCs w:val="22"/>
        </w:rPr>
        <w:t xml:space="preserve">Low molecular weight heparin, extended for at least 7–10 days (up to 4 weeks if high-risk features)</w:t>
      </w:r>
    </w:p>
    <w:p>
      <w:pPr>
        <w:spacing w:after="60"/>
        <w:ind w:left="360"/>
      </w:pPr>
      <w:r>
        <w:rPr>
          <w:b/>
          <w:bCs/>
          <w:sz w:val="22"/>
          <w:szCs w:val="22"/>
        </w:rPr>
        <w:t xml:space="preserve">D) </w:t>
      </w:r>
      <w:r>
        <w:rPr>
          <w:sz w:val="22"/>
          <w:szCs w:val="22"/>
        </w:rPr>
        <w:t xml:space="preserve">Unfractionated heparin, for a single intraoperative dose only</w:t>
      </w:r>
    </w:p>
    <w:p>
      <w:pPr>
        <w:spacing w:after="60"/>
        <w:ind w:left="360"/>
      </w:pPr>
      <w:r>
        <w:rPr>
          <w:b/>
          <w:bCs/>
          <w:sz w:val="22"/>
          <w:szCs w:val="22"/>
        </w:rPr>
        <w:t xml:space="preserve">E) </w:t>
      </w:r>
      <w:r>
        <w:rPr>
          <w:sz w:val="22"/>
          <w:szCs w:val="22"/>
        </w:rPr>
        <w:t xml:space="preserve">Warfarin, continued indefinitely</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aspirin is not the guideline-recommended primary agent here.</w:t>
      </w:r>
    </w:p>
    <w:p>
      <w:pPr>
        <w:spacing w:after="40"/>
        <w:ind w:left="360"/>
      </w:pPr>
      <w:r>
        <w:rPr>
          <w:b/>
          <w:bCs/>
          <w:sz w:val="20"/>
          <w:szCs w:val="20"/>
        </w:rPr>
        <w:t xml:space="preserve">B) </w:t>
      </w:r>
      <w:r>
        <w:rPr>
          <w:sz w:val="20"/>
          <w:szCs w:val="20"/>
        </w:rPr>
        <w:t xml:space="preserve">Incorrect — not the standard agent/duration for this indication.</w:t>
      </w:r>
    </w:p>
    <w:p>
      <w:pPr>
        <w:spacing w:after="40"/>
        <w:ind w:left="360"/>
      </w:pPr>
      <w:r>
        <w:rPr>
          <w:b/>
          <w:bCs/>
          <w:sz w:val="20"/>
          <w:szCs w:val="20"/>
        </w:rPr>
        <w:t xml:space="preserve">C) </w:t>
      </w:r>
      <w:r>
        <w:rPr>
          <w:sz w:val="20"/>
          <w:szCs w:val="20"/>
        </w:rPr>
        <w:t xml:space="preserve">Correct — LMWH is recommended for major cancer surgery, continued at least 7–10 days, extended up to 4 weeks in high-risk abdominal/pelvic cancer surgery.</w:t>
      </w:r>
    </w:p>
    <w:p>
      <w:pPr>
        <w:spacing w:after="40"/>
        <w:ind w:left="360"/>
      </w:pPr>
      <w:r>
        <w:rPr>
          <w:b/>
          <w:bCs/>
          <w:sz w:val="20"/>
          <w:szCs w:val="20"/>
        </w:rPr>
        <w:t xml:space="preserve">D) </w:t>
      </w:r>
      <w:r>
        <w:rPr>
          <w:sz w:val="20"/>
          <w:szCs w:val="20"/>
        </w:rPr>
        <w:t xml:space="preserve">Incorrect — a single dose is inadequate prophylaxis.</w:t>
      </w:r>
    </w:p>
    <w:p>
      <w:pPr>
        <w:spacing w:after="40"/>
        <w:ind w:left="360"/>
      </w:pPr>
      <w:r>
        <w:rPr>
          <w:b/>
          <w:bCs/>
          <w:sz w:val="20"/>
          <w:szCs w:val="20"/>
        </w:rPr>
        <w:t xml:space="preserve">E) </w:t>
      </w:r>
      <w:r>
        <w:rPr>
          <w:sz w:val="20"/>
          <w:szCs w:val="20"/>
        </w:rPr>
        <w:t xml:space="preserve">Incorrect — warfarin is not standard postoperative surgical VTE prophylaxis.</w:t>
      </w:r>
    </w:p>
    <w:p>
      <w:pPr>
        <w:spacing w:after="200"/>
      </w:pPr>
      <w:r>
        <w:rPr>
          <w:i/>
          <w:iCs/>
          <w:color w:val="595959"/>
          <w:sz w:val="16"/>
          <w:szCs w:val="16"/>
        </w:rPr>
        <w:t xml:space="preserve">Source: ASH 2019 VTE Prevention Guidelines — https://ashpublications.org/bloodadvances/article/3/23/3898/429211</w:t>
      </w:r>
    </w:p>
    <w:p>
      <w:pPr>
        <w:spacing w:after="120" w:before="300"/>
      </w:pPr>
      <w:r>
        <w:rPr>
          <w:b/>
          <w:bCs/>
          <w:sz w:val="24"/>
          <w:szCs w:val="24"/>
        </w:rPr>
        <w:t xml:space="preserve">3. </w:t>
      </w:r>
      <w:r>
        <w:rPr>
          <w:sz w:val="24"/>
          <w:szCs w:val="24"/>
        </w:rPr>
        <w:t xml:space="preserve">On postoperative day 4 after open colonic resection, a 62-year-old man has abdominal distension, absent flatus, and vomiting. Abdominal X-ray shows diffusely dilated bowel loops without a transition point. There are no signs of peritonism, and he remains hemodynamically stable.</w:t>
      </w:r>
    </w:p>
    <w:p>
      <w:pPr>
        <w:spacing w:after="120"/>
      </w:pPr>
      <w:r>
        <w:rPr>
          <w:i/>
          <w:iCs/>
          <w:sz w:val="24"/>
          <w:szCs w:val="24"/>
        </w:rPr>
        <w:t xml:space="preserve">After excluding mechanical obstruction, which of the following is most appropriate in managing this condition?</w:t>
      </w:r>
    </w:p>
    <w:p>
      <w:pPr>
        <w:spacing w:after="60"/>
        <w:ind w:left="360"/>
      </w:pPr>
      <w:r>
        <w:rPr>
          <w:b/>
          <w:bCs/>
          <w:sz w:val="22"/>
          <w:szCs w:val="22"/>
        </w:rPr>
        <w:t xml:space="preserve">A) </w:t>
      </w:r>
      <w:r>
        <w:rPr>
          <w:sz w:val="22"/>
          <w:szCs w:val="22"/>
        </w:rPr>
        <w:t xml:space="preserve">Aggressive intravenous crystalloid loading to overcome hypovolemia</w:t>
      </w:r>
    </w:p>
    <w:p>
      <w:pPr>
        <w:spacing w:after="60"/>
        <w:ind w:left="360"/>
      </w:pPr>
      <w:r>
        <w:rPr>
          <w:b/>
          <w:bCs/>
          <w:sz w:val="22"/>
          <w:szCs w:val="22"/>
        </w:rPr>
        <w:t xml:space="preserve">B) </w:t>
      </w:r>
      <w:r>
        <w:rPr>
          <w:sz w:val="22"/>
          <w:szCs w:val="22"/>
        </w:rPr>
        <w:t xml:space="preserve">Immediate re-laparotomy to rule out anastomotic leak</w:t>
      </w:r>
    </w:p>
    <w:p>
      <w:pPr>
        <w:spacing w:after="60"/>
        <w:ind w:left="360"/>
      </w:pPr>
      <w:r>
        <w:rPr>
          <w:b/>
          <w:bCs/>
          <w:sz w:val="22"/>
          <w:szCs w:val="22"/>
        </w:rPr>
        <w:t xml:space="preserve">C) </w:t>
      </w:r>
      <w:r>
        <w:rPr>
          <w:sz w:val="22"/>
          <w:szCs w:val="22"/>
        </w:rPr>
        <w:t xml:space="preserve">Long-term parenteral nutrition until bowel sounds return</w:t>
      </w:r>
    </w:p>
    <w:p>
      <w:pPr>
        <w:spacing w:after="60"/>
        <w:ind w:left="360"/>
      </w:pPr>
      <w:r>
        <w:rPr>
          <w:b/>
          <w:bCs/>
          <w:sz w:val="22"/>
          <w:szCs w:val="22"/>
        </w:rPr>
        <w:t xml:space="preserve">D) </w:t>
      </w:r>
      <w:r>
        <w:rPr>
          <w:sz w:val="22"/>
          <w:szCs w:val="22"/>
        </w:rPr>
        <w:t xml:space="preserve">Nasogastric tube insertion with strict fluid overload for bowel rest</w:t>
      </w:r>
    </w:p>
    <w:p>
      <w:pPr>
        <w:spacing w:after="60"/>
        <w:ind w:left="360"/>
      </w:pPr>
      <w:r>
        <w:rPr>
          <w:b/>
          <w:bCs/>
          <w:sz w:val="22"/>
          <w:szCs w:val="22"/>
        </w:rPr>
        <w:t xml:space="preserve">E) </w:t>
      </w:r>
      <w:r>
        <w:rPr>
          <w:sz w:val="22"/>
          <w:szCs w:val="22"/>
        </w:rPr>
        <w:t xml:space="preserve">Opioid-sparing analgesia, avoidance of salt/water overload, and early mobilization</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fluid overload worsens postoperative ileus (POI); this should be avoided, not pursued.</w:t>
      </w:r>
    </w:p>
    <w:p>
      <w:pPr>
        <w:spacing w:after="40"/>
        <w:ind w:left="360"/>
      </w:pPr>
      <w:r>
        <w:rPr>
          <w:b/>
          <w:bCs/>
          <w:sz w:val="20"/>
          <w:szCs w:val="20"/>
        </w:rPr>
        <w:t xml:space="preserve">B) </w:t>
      </w:r>
      <w:r>
        <w:rPr>
          <w:sz w:val="20"/>
          <w:szCs w:val="20"/>
        </w:rPr>
        <w:t xml:space="preserve">Incorrect — no leak/peritonism signs; mechanical obstruction already excluded.</w:t>
      </w:r>
    </w:p>
    <w:p>
      <w:pPr>
        <w:spacing w:after="40"/>
        <w:ind w:left="360"/>
      </w:pPr>
      <w:r>
        <w:rPr>
          <w:b/>
          <w:bCs/>
          <w:sz w:val="20"/>
          <w:szCs w:val="20"/>
        </w:rPr>
        <w:t xml:space="preserve">C) </w:t>
      </w:r>
      <w:r>
        <w:rPr>
          <w:sz w:val="20"/>
          <w:szCs w:val="20"/>
        </w:rPr>
        <w:t xml:space="preserve">Incorrect — not first-line; supportive care is preferred, TPN reserved for prolonged cases.</w:t>
      </w:r>
    </w:p>
    <w:p>
      <w:pPr>
        <w:spacing w:after="40"/>
        <w:ind w:left="360"/>
      </w:pPr>
      <w:r>
        <w:rPr>
          <w:b/>
          <w:bCs/>
          <w:sz w:val="20"/>
          <w:szCs w:val="20"/>
        </w:rPr>
        <w:t xml:space="preserve">D) </w:t>
      </w:r>
      <w:r>
        <w:rPr>
          <w:sz w:val="20"/>
          <w:szCs w:val="20"/>
        </w:rPr>
        <w:t xml:space="preserve">Incorrect — routine NG tube use and fluid overload do not help POI and may worsen it.</w:t>
      </w:r>
    </w:p>
    <w:p>
      <w:pPr>
        <w:spacing w:after="40"/>
        <w:ind w:left="360"/>
      </w:pPr>
      <w:r>
        <w:rPr>
          <w:b/>
          <w:bCs/>
          <w:sz w:val="20"/>
          <w:szCs w:val="20"/>
        </w:rPr>
        <w:t xml:space="preserve">E) </w:t>
      </w:r>
      <w:r>
        <w:rPr>
          <w:sz w:val="20"/>
          <w:szCs w:val="20"/>
        </w:rPr>
        <w:t xml:space="preserve">Correct — management relies on supportive multimodal care: opioid-sparing analgesia, avoiding fluid overload, and early ambulation.</w:t>
      </w:r>
    </w:p>
    <w:p>
      <w:pPr>
        <w:spacing w:after="200"/>
      </w:pPr>
      <w:r>
        <w:rPr>
          <w:i/>
          <w:iCs/>
          <w:color w:val="595959"/>
          <w:sz w:val="16"/>
          <w:szCs w:val="16"/>
        </w:rPr>
        <w:t xml:space="preserve">Source: StatPearls — Postoperative Ileus — https://www.ncbi.nlm.nih.gov/books/NBK560780/</w:t>
      </w:r>
    </w:p>
    <w:p>
      <w:pPr>
        <w:spacing w:after="120" w:before="300"/>
      </w:pPr>
      <w:r>
        <w:rPr>
          <w:b/>
          <w:bCs/>
          <w:sz w:val="24"/>
          <w:szCs w:val="24"/>
        </w:rPr>
        <w:t xml:space="preserve">4. </w:t>
      </w:r>
      <w:r>
        <w:rPr>
          <w:sz w:val="24"/>
          <w:szCs w:val="24"/>
        </w:rPr>
        <w:t xml:space="preserve">A 30-year-old non-smoking woman with a history of motion sickness and previous postoperative nausea is undergoing laparoscopic cholecystectomy under general anesthesia. Postoperative opioids are planned for pain control. The anesthetist calculates her Apfel simplified risk score before surgery to guide antiemetic prophylaxis and reduce her risk.</w:t>
      </w:r>
    </w:p>
    <w:p>
      <w:pPr>
        <w:spacing w:after="120"/>
      </w:pPr>
      <w:r>
        <w:rPr>
          <w:i/>
          <w:iCs/>
          <w:sz w:val="24"/>
          <w:szCs w:val="24"/>
        </w:rPr>
        <w:t xml:space="preserve">Which of the following is NOT one of the four risk factors included in the Apfel simplified risk score?</w:t>
      </w:r>
    </w:p>
    <w:p>
      <w:pPr>
        <w:spacing w:after="60"/>
        <w:ind w:left="360"/>
      </w:pPr>
      <w:r>
        <w:rPr>
          <w:b/>
          <w:bCs/>
          <w:sz w:val="22"/>
          <w:szCs w:val="22"/>
        </w:rPr>
        <w:t xml:space="preserve">A) </w:t>
      </w:r>
      <w:r>
        <w:rPr>
          <w:sz w:val="22"/>
          <w:szCs w:val="22"/>
        </w:rPr>
        <w:t xml:space="preserve">Female sex</w:t>
      </w:r>
    </w:p>
    <w:p>
      <w:pPr>
        <w:spacing w:after="60"/>
        <w:ind w:left="360"/>
      </w:pPr>
      <w:r>
        <w:rPr>
          <w:b/>
          <w:bCs/>
          <w:sz w:val="22"/>
          <w:szCs w:val="22"/>
        </w:rPr>
        <w:t xml:space="preserve">B) </w:t>
      </w:r>
      <w:r>
        <w:rPr>
          <w:sz w:val="22"/>
          <w:szCs w:val="22"/>
        </w:rPr>
        <w:t xml:space="preserve">History of PONV or motion sickness</w:t>
      </w:r>
    </w:p>
    <w:p>
      <w:pPr>
        <w:spacing w:after="60"/>
        <w:ind w:left="360"/>
      </w:pPr>
      <w:r>
        <w:rPr>
          <w:b/>
          <w:bCs/>
          <w:sz w:val="22"/>
          <w:szCs w:val="22"/>
        </w:rPr>
        <w:t xml:space="preserve">C) </w:t>
      </w:r>
      <w:r>
        <w:rPr>
          <w:sz w:val="22"/>
          <w:szCs w:val="22"/>
        </w:rPr>
        <w:t xml:space="preserve">Nonsmoking status</w:t>
      </w:r>
    </w:p>
    <w:p>
      <w:pPr>
        <w:spacing w:after="60"/>
        <w:ind w:left="360"/>
      </w:pPr>
      <w:r>
        <w:rPr>
          <w:b/>
          <w:bCs/>
          <w:sz w:val="22"/>
          <w:szCs w:val="22"/>
        </w:rPr>
        <w:t xml:space="preserve">D) </w:t>
      </w:r>
      <w:r>
        <w:rPr>
          <w:sz w:val="22"/>
          <w:szCs w:val="22"/>
        </w:rPr>
        <w:t xml:space="preserve">Postoperative opioid use</w:t>
      </w:r>
    </w:p>
    <w:p>
      <w:pPr>
        <w:spacing w:after="60"/>
        <w:ind w:left="360"/>
      </w:pPr>
      <w:r>
        <w:rPr>
          <w:b/>
          <w:bCs/>
          <w:sz w:val="22"/>
          <w:szCs w:val="22"/>
        </w:rPr>
        <w:t xml:space="preserve">E) </w:t>
      </w:r>
      <w:r>
        <w:rPr>
          <w:sz w:val="22"/>
          <w:szCs w:val="22"/>
        </w:rPr>
        <w:t xml:space="preserve">Prolonged duration of surgery (&gt;3 hours)</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This is one of the four Apfel factors.</w:t>
      </w:r>
    </w:p>
    <w:p>
      <w:pPr>
        <w:spacing w:after="40"/>
        <w:ind w:left="360"/>
      </w:pPr>
      <w:r>
        <w:rPr>
          <w:b/>
          <w:bCs/>
          <w:sz w:val="20"/>
          <w:szCs w:val="20"/>
        </w:rPr>
        <w:t xml:space="preserve">B) </w:t>
      </w:r>
      <w:r>
        <w:rPr>
          <w:sz w:val="20"/>
          <w:szCs w:val="20"/>
        </w:rPr>
        <w:t xml:space="preserve">This is one of the four Apfel factors.</w:t>
      </w:r>
    </w:p>
    <w:p>
      <w:pPr>
        <w:spacing w:after="40"/>
        <w:ind w:left="360"/>
      </w:pPr>
      <w:r>
        <w:rPr>
          <w:b/>
          <w:bCs/>
          <w:sz w:val="20"/>
          <w:szCs w:val="20"/>
        </w:rPr>
        <w:t xml:space="preserve">C) </w:t>
      </w:r>
      <w:r>
        <w:rPr>
          <w:sz w:val="20"/>
          <w:szCs w:val="20"/>
        </w:rPr>
        <w:t xml:space="preserve">This is one of the four Apfel factors.</w:t>
      </w:r>
    </w:p>
    <w:p>
      <w:pPr>
        <w:spacing w:after="40"/>
        <w:ind w:left="360"/>
      </w:pPr>
      <w:r>
        <w:rPr>
          <w:b/>
          <w:bCs/>
          <w:sz w:val="20"/>
          <w:szCs w:val="20"/>
        </w:rPr>
        <w:t xml:space="preserve">D) </w:t>
      </w:r>
      <w:r>
        <w:rPr>
          <w:sz w:val="20"/>
          <w:szCs w:val="20"/>
        </w:rPr>
        <w:t xml:space="preserve">This is one of the four Apfel factors.</w:t>
      </w:r>
    </w:p>
    <w:p>
      <w:pPr>
        <w:spacing w:after="40"/>
        <w:ind w:left="360"/>
      </w:pPr>
      <w:r>
        <w:rPr>
          <w:b/>
          <w:bCs/>
          <w:sz w:val="20"/>
          <w:szCs w:val="20"/>
        </w:rPr>
        <w:t xml:space="preserve">E) </w:t>
      </w:r>
      <w:r>
        <w:rPr>
          <w:sz w:val="20"/>
          <w:szCs w:val="20"/>
        </w:rPr>
        <w:t xml:space="preserve">Correct (NOT included) — duration of surgery is a recognized PONV risk factor in broader models but is not one of the four Apfel simplified score components.</w:t>
      </w:r>
    </w:p>
    <w:p>
      <w:pPr>
        <w:spacing w:after="200"/>
      </w:pPr>
      <w:r>
        <w:rPr>
          <w:i/>
          <w:iCs/>
          <w:color w:val="595959"/>
          <w:sz w:val="16"/>
          <w:szCs w:val="16"/>
        </w:rPr>
        <w:t xml:space="preserve">Source: Use of Apfel Simplified Risk Score to Guide PONV Prophylaxis — J. PeriAnesthesia Nursing — https://www.jopan.org/article/S1089-9472(21)00348-8/abstract</w:t>
      </w:r>
    </w:p>
    <w:p>
      <w:pPr>
        <w:spacing w:after="120" w:before="300"/>
      </w:pPr>
      <w:r>
        <w:rPr>
          <w:b/>
          <w:bCs/>
          <w:sz w:val="24"/>
          <w:szCs w:val="24"/>
        </w:rPr>
        <w:t xml:space="preserve">5. </w:t>
      </w:r>
      <w:r>
        <w:rPr>
          <w:sz w:val="24"/>
          <w:szCs w:val="24"/>
        </w:rPr>
        <w:t xml:space="preserve">On postoperative day 6 after emergency laparotomy for a perforated peptic ulcer, a 55-year-old man with diabetes and a serum albumin of 2.8 g/dL suddenly passes serosanguinous ("pink") fluid from his abdominal wound while coughing. On examination, the underlying bowel loops are visible through a gap in the fascia.</w:t>
      </w:r>
    </w:p>
    <w:p>
      <w:pPr>
        <w:spacing w:after="120"/>
      </w:pPr>
      <w:r>
        <w:rPr>
          <w:i/>
          <w:iCs/>
          <w:sz w:val="24"/>
          <w:szCs w:val="24"/>
        </w:rPr>
        <w:t xml:space="preserve">What is the most appropriate immediate management of this condition?</w:t>
      </w:r>
    </w:p>
    <w:p>
      <w:pPr>
        <w:spacing w:after="60"/>
        <w:ind w:left="360"/>
      </w:pPr>
      <w:r>
        <w:rPr>
          <w:b/>
          <w:bCs/>
          <w:sz w:val="22"/>
          <w:szCs w:val="22"/>
        </w:rPr>
        <w:t xml:space="preserve">A) </w:t>
      </w:r>
      <w:r>
        <w:rPr>
          <w:sz w:val="22"/>
          <w:szCs w:val="22"/>
        </w:rPr>
        <w:t xml:space="preserve">Apply a sterile saline-soaked dressing, cover with an abdominal binder, and arrange urgent surgical closure</w:t>
      </w:r>
    </w:p>
    <w:p>
      <w:pPr>
        <w:spacing w:after="60"/>
        <w:ind w:left="360"/>
      </w:pPr>
      <w:r>
        <w:rPr>
          <w:b/>
          <w:bCs/>
          <w:sz w:val="22"/>
          <w:szCs w:val="22"/>
        </w:rPr>
        <w:t xml:space="preserve">B) </w:t>
      </w:r>
      <w:r>
        <w:rPr>
          <w:sz w:val="22"/>
          <w:szCs w:val="22"/>
        </w:rPr>
        <w:t xml:space="preserve">Discharge with outpatient wound care follow-up</w:t>
      </w:r>
    </w:p>
    <w:p>
      <w:pPr>
        <w:spacing w:after="60"/>
        <w:ind w:left="360"/>
      </w:pPr>
      <w:r>
        <w:rPr>
          <w:b/>
          <w:bCs/>
          <w:sz w:val="22"/>
          <w:szCs w:val="22"/>
        </w:rPr>
        <w:t xml:space="preserve">C) </w:t>
      </w:r>
      <w:r>
        <w:rPr>
          <w:sz w:val="22"/>
          <w:szCs w:val="22"/>
        </w:rPr>
        <w:t xml:space="preserve">Oral antibiotics and observation on the ward</w:t>
      </w:r>
    </w:p>
    <w:p>
      <w:pPr>
        <w:spacing w:after="60"/>
        <w:ind w:left="360"/>
      </w:pPr>
      <w:r>
        <w:rPr>
          <w:b/>
          <w:bCs/>
          <w:sz w:val="22"/>
          <w:szCs w:val="22"/>
        </w:rPr>
        <w:t xml:space="preserve">D) </w:t>
      </w:r>
      <w:r>
        <w:rPr>
          <w:sz w:val="22"/>
          <w:szCs w:val="22"/>
        </w:rPr>
        <w:t xml:space="preserve">Reassure the patient and continue standard dressing changes</w:t>
      </w:r>
    </w:p>
    <w:p>
      <w:pPr>
        <w:spacing w:after="60"/>
        <w:ind w:left="360"/>
      </w:pPr>
      <w:r>
        <w:rPr>
          <w:b/>
          <w:bCs/>
          <w:sz w:val="22"/>
          <w:szCs w:val="22"/>
        </w:rPr>
        <w:t xml:space="preserve">E) </w:t>
      </w:r>
      <w:r>
        <w:rPr>
          <w:sz w:val="22"/>
          <w:szCs w:val="22"/>
        </w:rPr>
        <w:t xml:space="preserve">Wait for the wound to granulate and heal by secondary intention</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this is full-thickness fascial dehiscence ("burst abdomen") — a surgical emergency; cover exposed bowel with a saline-soaked sterile dressing, apply support, and arrange urgent return to theatre.</w:t>
      </w:r>
    </w:p>
    <w:p>
      <w:pPr>
        <w:spacing w:after="40"/>
        <w:ind w:left="360"/>
      </w:pPr>
      <w:r>
        <w:rPr>
          <w:b/>
          <w:bCs/>
          <w:sz w:val="20"/>
          <w:szCs w:val="20"/>
        </w:rPr>
        <w:t xml:space="preserve">B) </w:t>
      </w:r>
      <w:r>
        <w:rPr>
          <w:sz w:val="20"/>
          <w:szCs w:val="20"/>
        </w:rPr>
        <w:t xml:space="preserve">Incorrect — this is an emergency, not an outpatient issue.</w:t>
      </w:r>
    </w:p>
    <w:p>
      <w:pPr>
        <w:spacing w:after="40"/>
        <w:ind w:left="360"/>
      </w:pPr>
      <w:r>
        <w:rPr>
          <w:b/>
          <w:bCs/>
          <w:sz w:val="20"/>
          <w:szCs w:val="20"/>
        </w:rPr>
        <w:t xml:space="preserve">C) </w:t>
      </w:r>
      <w:r>
        <w:rPr>
          <w:sz w:val="20"/>
          <w:szCs w:val="20"/>
        </w:rPr>
        <w:t xml:space="preserve">Incorrect — antibiotics/observation don't address the fascial disruption.</w:t>
      </w:r>
    </w:p>
    <w:p>
      <w:pPr>
        <w:spacing w:after="40"/>
        <w:ind w:left="360"/>
      </w:pPr>
      <w:r>
        <w:rPr>
          <w:b/>
          <w:bCs/>
          <w:sz w:val="20"/>
          <w:szCs w:val="20"/>
        </w:rPr>
        <w:t xml:space="preserve">D) </w:t>
      </w:r>
      <w:r>
        <w:rPr>
          <w:sz w:val="20"/>
          <w:szCs w:val="20"/>
        </w:rPr>
        <w:t xml:space="preserve">Incorrect — inaction risks evisceration/bowel injury.</w:t>
      </w:r>
    </w:p>
    <w:p>
      <w:pPr>
        <w:spacing w:after="40"/>
        <w:ind w:left="360"/>
      </w:pPr>
      <w:r>
        <w:rPr>
          <w:b/>
          <w:bCs/>
          <w:sz w:val="20"/>
          <w:szCs w:val="20"/>
        </w:rPr>
        <w:t xml:space="preserve">E) </w:t>
      </w:r>
      <w:r>
        <w:rPr>
          <w:sz w:val="20"/>
          <w:szCs w:val="20"/>
        </w:rPr>
        <w:t xml:space="preserve">Incorrect — exposed bowel through a fascial gap needs surgical closure, not secondary intention healing.</w:t>
      </w:r>
    </w:p>
    <w:p>
      <w:pPr>
        <w:spacing w:after="200"/>
      </w:pPr>
      <w:r>
        <w:rPr>
          <w:i/>
          <w:iCs/>
          <w:color w:val="595959"/>
          <w:sz w:val="16"/>
          <w:szCs w:val="16"/>
        </w:rPr>
        <w:t xml:space="preserve">Source: StatPearls — Fascial Dehiscence — https://www.ncbi.nlm.nih.gov/books/NBK551644/</w:t>
      </w:r>
    </w:p>
    <w:p>
      <w:pPr>
        <w:spacing w:after="120" w:before="300"/>
      </w:pPr>
      <w:r>
        <w:rPr>
          <w:b/>
          <w:bCs/>
          <w:sz w:val="24"/>
          <w:szCs w:val="24"/>
        </w:rPr>
        <w:t xml:space="preserve">6. </w:t>
      </w:r>
      <w:r>
        <w:rPr>
          <w:sz w:val="24"/>
          <w:szCs w:val="24"/>
        </w:rPr>
        <w:t xml:space="preserve">A 60-year-old woman is admitted for elective laparoscopic colonic resection under an Enhanced Recovery After Surgery (ERAS) protocol. The team plans her perioperative care to minimize surgical stress, avoid prolonged fasting, and promote rapid functional recovery with early return to normal activity.</w:t>
      </w:r>
    </w:p>
    <w:p>
      <w:pPr>
        <w:spacing w:after="120"/>
      </w:pPr>
      <w:r>
        <w:rPr>
          <w:i/>
          <w:iCs/>
          <w:sz w:val="24"/>
          <w:szCs w:val="24"/>
        </w:rPr>
        <w:t xml:space="preserve">Which of the following is a core element of the ERAS protocol for this patient?</w:t>
      </w:r>
    </w:p>
    <w:p>
      <w:pPr>
        <w:spacing w:after="60"/>
        <w:ind w:left="360"/>
      </w:pPr>
      <w:r>
        <w:rPr>
          <w:b/>
          <w:bCs/>
          <w:sz w:val="22"/>
          <w:szCs w:val="22"/>
        </w:rPr>
        <w:t xml:space="preserve">A) </w:t>
      </w:r>
      <w:r>
        <w:rPr>
          <w:sz w:val="22"/>
          <w:szCs w:val="22"/>
        </w:rPr>
        <w:t xml:space="preserve">Aggressive intravenous fluid loading throughout the perioperative period</w:t>
      </w:r>
    </w:p>
    <w:p>
      <w:pPr>
        <w:spacing w:after="60"/>
        <w:ind w:left="360"/>
      </w:pPr>
      <w:r>
        <w:rPr>
          <w:b/>
          <w:bCs/>
          <w:sz w:val="22"/>
          <w:szCs w:val="22"/>
        </w:rPr>
        <w:t xml:space="preserve">B) </w:t>
      </w:r>
      <w:r>
        <w:rPr>
          <w:sz w:val="22"/>
          <w:szCs w:val="22"/>
        </w:rPr>
        <w:t xml:space="preserve">Avoidance of preoperative carbohydrate loading</w:t>
      </w:r>
    </w:p>
    <w:p>
      <w:pPr>
        <w:spacing w:after="60"/>
        <w:ind w:left="360"/>
      </w:pPr>
      <w:r>
        <w:rPr>
          <w:b/>
          <w:bCs/>
          <w:sz w:val="22"/>
          <w:szCs w:val="22"/>
        </w:rPr>
        <w:t xml:space="preserve">C) </w:t>
      </w:r>
      <w:r>
        <w:rPr>
          <w:sz w:val="22"/>
          <w:szCs w:val="22"/>
        </w:rPr>
        <w:t xml:space="preserve">Prolonged bowel preparation the night before surgery</w:t>
      </w:r>
    </w:p>
    <w:p>
      <w:pPr>
        <w:spacing w:after="60"/>
        <w:ind w:left="360"/>
      </w:pPr>
      <w:r>
        <w:rPr>
          <w:b/>
          <w:bCs/>
          <w:sz w:val="22"/>
          <w:szCs w:val="22"/>
        </w:rPr>
        <w:t xml:space="preserve">D) </w:t>
      </w:r>
      <w:r>
        <w:rPr>
          <w:sz w:val="22"/>
          <w:szCs w:val="22"/>
        </w:rPr>
        <w:t xml:space="preserve">Prolonged preoperative fasting from midnight</w:t>
      </w:r>
    </w:p>
    <w:p>
      <w:pPr>
        <w:spacing w:after="60"/>
        <w:ind w:left="360"/>
      </w:pPr>
      <w:r>
        <w:rPr>
          <w:b/>
          <w:bCs/>
          <w:sz w:val="22"/>
          <w:szCs w:val="22"/>
        </w:rPr>
        <w:t xml:space="preserve">E) </w:t>
      </w:r>
      <w:r>
        <w:rPr>
          <w:sz w:val="22"/>
          <w:szCs w:val="22"/>
        </w:rPr>
        <w:t xml:space="preserve">Same-day removal of urinary catheter and early postoperative mobilization</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ERAS favors controlled, near-zero-balance fluid administration.</w:t>
      </w:r>
    </w:p>
    <w:p>
      <w:pPr>
        <w:spacing w:after="40"/>
        <w:ind w:left="360"/>
      </w:pPr>
      <w:r>
        <w:rPr>
          <w:b/>
          <w:bCs/>
          <w:sz w:val="20"/>
          <w:szCs w:val="20"/>
        </w:rPr>
        <w:t xml:space="preserve">B) </w:t>
      </w:r>
      <w:r>
        <w:rPr>
          <w:sz w:val="20"/>
          <w:szCs w:val="20"/>
        </w:rPr>
        <w:t xml:space="preserve">Incorrect — ERAS encourages preoperative carbohydrate loading, not avoidance.</w:t>
      </w:r>
    </w:p>
    <w:p>
      <w:pPr>
        <w:spacing w:after="40"/>
        <w:ind w:left="360"/>
      </w:pPr>
      <w:r>
        <w:rPr>
          <w:b/>
          <w:bCs/>
          <w:sz w:val="20"/>
          <w:szCs w:val="20"/>
        </w:rPr>
        <w:t xml:space="preserve">C) </w:t>
      </w:r>
      <w:r>
        <w:rPr>
          <w:sz w:val="20"/>
          <w:szCs w:val="20"/>
        </w:rPr>
        <w:t xml:space="preserve">Incorrect — ERAS eliminates routine mechanical bowel preparation.</w:t>
      </w:r>
    </w:p>
    <w:p>
      <w:pPr>
        <w:spacing w:after="40"/>
        <w:ind w:left="360"/>
      </w:pPr>
      <w:r>
        <w:rPr>
          <w:b/>
          <w:bCs/>
          <w:sz w:val="20"/>
          <w:szCs w:val="20"/>
        </w:rPr>
        <w:t xml:space="preserve">D) </w:t>
      </w:r>
      <w:r>
        <w:rPr>
          <w:sz w:val="20"/>
          <w:szCs w:val="20"/>
        </w:rPr>
        <w:t xml:space="preserve">Incorrect — ERAS avoids prolonged fasting.</w:t>
      </w:r>
    </w:p>
    <w:p>
      <w:pPr>
        <w:spacing w:after="40"/>
        <w:ind w:left="360"/>
      </w:pPr>
      <w:r>
        <w:rPr>
          <w:b/>
          <w:bCs/>
          <w:sz w:val="20"/>
          <w:szCs w:val="20"/>
        </w:rPr>
        <w:t xml:space="preserve">E) </w:t>
      </w:r>
      <w:r>
        <w:rPr>
          <w:sz w:val="20"/>
          <w:szCs w:val="20"/>
        </w:rPr>
        <w:t xml:space="preserve">Correct — ERAS promotes prompt catheter/drain removal and early mobilization to speed recovery.</w:t>
      </w:r>
    </w:p>
    <w:p>
      <w:pPr>
        <w:spacing w:after="200"/>
      </w:pPr>
      <w:r>
        <w:rPr>
          <w:i/>
          <w:iCs/>
          <w:color w:val="595959"/>
          <w:sz w:val="16"/>
          <w:szCs w:val="16"/>
        </w:rPr>
        <w:t xml:space="preserve">Source: ERAS Society Guideline Standards — PMC — https://www.ncbi.nlm.nih.gov/pmc/articles/PMC6996628/</w:t>
      </w:r>
    </w:p>
    <w:p>
      <w:pPr>
        <w:spacing w:after="120" w:before="300"/>
      </w:pPr>
      <w:r>
        <w:rPr>
          <w:b/>
          <w:bCs/>
          <w:sz w:val="24"/>
          <w:szCs w:val="24"/>
        </w:rPr>
        <w:t xml:space="preserve">7. </w:t>
      </w:r>
      <w:r>
        <w:rPr>
          <w:sz w:val="24"/>
          <w:szCs w:val="24"/>
        </w:rPr>
        <w:t xml:space="preserve">An 82-year-old man with mild baseline cognitive impairment becomes acutely confused and agitated on the night of postoperative day 2 after emergency hip fracture surgery. He is disoriented, has fluctuating attention, and was recently started on a long-acting benzodiazepine for anxiety before surgery.</w:t>
      </w:r>
    </w:p>
    <w:p>
      <w:pPr>
        <w:spacing w:after="120"/>
      </w:pPr>
      <w:r>
        <w:rPr>
          <w:i/>
          <w:iCs/>
          <w:sz w:val="24"/>
          <w:szCs w:val="24"/>
        </w:rPr>
        <w:t xml:space="preserve">Which of the following was the most significant modifiable risk factor for this presentation?</w:t>
      </w:r>
    </w:p>
    <w:p>
      <w:pPr>
        <w:spacing w:after="60"/>
        <w:ind w:left="360"/>
      </w:pPr>
      <w:r>
        <w:rPr>
          <w:b/>
          <w:bCs/>
          <w:sz w:val="22"/>
          <w:szCs w:val="22"/>
        </w:rPr>
        <w:t xml:space="preserve">A) </w:t>
      </w:r>
      <w:r>
        <w:rPr>
          <w:sz w:val="22"/>
          <w:szCs w:val="22"/>
        </w:rPr>
        <w:t xml:space="preserve">Advanced age</w:t>
      </w:r>
    </w:p>
    <w:p>
      <w:pPr>
        <w:spacing w:after="60"/>
        <w:ind w:left="360"/>
      </w:pPr>
      <w:r>
        <w:rPr>
          <w:b/>
          <w:bCs/>
          <w:sz w:val="22"/>
          <w:szCs w:val="22"/>
        </w:rPr>
        <w:t xml:space="preserve">B) </w:t>
      </w:r>
      <w:r>
        <w:rPr>
          <w:sz w:val="22"/>
          <w:szCs w:val="22"/>
        </w:rPr>
        <w:t xml:space="preserve">Emergency (versus elective) surgery</w:t>
      </w:r>
    </w:p>
    <w:p>
      <w:pPr>
        <w:spacing w:after="60"/>
        <w:ind w:left="360"/>
      </w:pPr>
      <w:r>
        <w:rPr>
          <w:b/>
          <w:bCs/>
          <w:sz w:val="22"/>
          <w:szCs w:val="22"/>
        </w:rPr>
        <w:t xml:space="preserve">C) </w:t>
      </w:r>
      <w:r>
        <w:rPr>
          <w:sz w:val="22"/>
          <w:szCs w:val="22"/>
        </w:rPr>
        <w:t xml:space="preserve">Long-acting benzodiazepine use</w:t>
      </w:r>
    </w:p>
    <w:p>
      <w:pPr>
        <w:spacing w:after="60"/>
        <w:ind w:left="360"/>
      </w:pPr>
      <w:r>
        <w:rPr>
          <w:b/>
          <w:bCs/>
          <w:sz w:val="22"/>
          <w:szCs w:val="22"/>
        </w:rPr>
        <w:t xml:space="preserve">D) </w:t>
      </w:r>
      <w:r>
        <w:rPr>
          <w:sz w:val="22"/>
          <w:szCs w:val="22"/>
        </w:rPr>
        <w:t xml:space="preserve">Male sex</w:t>
      </w:r>
    </w:p>
    <w:p>
      <w:pPr>
        <w:spacing w:after="60"/>
        <w:ind w:left="360"/>
      </w:pPr>
      <w:r>
        <w:rPr>
          <w:b/>
          <w:bCs/>
          <w:sz w:val="22"/>
          <w:szCs w:val="22"/>
        </w:rPr>
        <w:t xml:space="preserve">E) </w:t>
      </w:r>
      <w:r>
        <w:rPr>
          <w:sz w:val="22"/>
          <w:szCs w:val="22"/>
        </w:rPr>
        <w:t xml:space="preserve">Pre-existing cognitive impairment</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advanced age is a well-known but non-modifiable risk factor.</w:t>
      </w:r>
    </w:p>
    <w:p>
      <w:pPr>
        <w:spacing w:after="40"/>
        <w:ind w:left="360"/>
      </w:pPr>
      <w:r>
        <w:rPr>
          <w:b/>
          <w:bCs/>
          <w:sz w:val="20"/>
          <w:szCs w:val="20"/>
        </w:rPr>
        <w:t xml:space="preserve">B) </w:t>
      </w:r>
      <w:r>
        <w:rPr>
          <w:sz w:val="20"/>
          <w:szCs w:val="20"/>
        </w:rPr>
        <w:t xml:space="preserve">Incorrect — emergency surgery is a risk factor but not modifiable at this stage.</w:t>
      </w:r>
    </w:p>
    <w:p>
      <w:pPr>
        <w:spacing w:after="40"/>
        <w:ind w:left="360"/>
      </w:pPr>
      <w:r>
        <w:rPr>
          <w:b/>
          <w:bCs/>
          <w:sz w:val="20"/>
          <w:szCs w:val="20"/>
        </w:rPr>
        <w:t xml:space="preserve">C) </w:t>
      </w:r>
      <w:r>
        <w:rPr>
          <w:sz w:val="20"/>
          <w:szCs w:val="20"/>
        </w:rPr>
        <w:t xml:space="preserve">Correct — long-acting benzodiazepine use is a recognized modifiable risk factor for postoperative delirium and should be minimized where possible.</w:t>
      </w:r>
    </w:p>
    <w:p>
      <w:pPr>
        <w:spacing w:after="40"/>
        <w:ind w:left="360"/>
      </w:pPr>
      <w:r>
        <w:rPr>
          <w:b/>
          <w:bCs/>
          <w:sz w:val="20"/>
          <w:szCs w:val="20"/>
        </w:rPr>
        <w:t xml:space="preserve">D) </w:t>
      </w:r>
      <w:r>
        <w:rPr>
          <w:sz w:val="20"/>
          <w:szCs w:val="20"/>
        </w:rPr>
        <w:t xml:space="preserve">Incorrect — sex is non-modifiable and not a consistently major risk factor.</w:t>
      </w:r>
    </w:p>
    <w:p>
      <w:pPr>
        <w:spacing w:after="40"/>
        <w:ind w:left="360"/>
      </w:pPr>
      <w:r>
        <w:rPr>
          <w:b/>
          <w:bCs/>
          <w:sz w:val="20"/>
          <w:szCs w:val="20"/>
        </w:rPr>
        <w:t xml:space="preserve">E) </w:t>
      </w:r>
      <w:r>
        <w:rPr>
          <w:sz w:val="20"/>
          <w:szCs w:val="20"/>
        </w:rPr>
        <w:t xml:space="preserve">Incorrect — pre-existing cognitive impairment is major but non-modifiable at this stage.</w:t>
      </w:r>
    </w:p>
    <w:p>
      <w:pPr>
        <w:spacing w:after="200"/>
      </w:pPr>
      <w:r>
        <w:rPr>
          <w:i/>
          <w:iCs/>
          <w:color w:val="595959"/>
          <w:sz w:val="16"/>
          <w:szCs w:val="16"/>
        </w:rPr>
        <w:t xml:space="preserve">Source: Postoperative Delirium — BJA Review — https://www.bjanaesthesia.org/article/S0007-0912(20)30566-3/fulltext</w:t>
      </w:r>
    </w:p>
    <w:p>
      <w:pPr>
        <w:spacing w:after="120" w:before="300"/>
      </w:pPr>
      <w:r>
        <w:rPr>
          <w:b/>
          <w:bCs/>
          <w:sz w:val="24"/>
          <w:szCs w:val="24"/>
        </w:rPr>
        <w:t xml:space="preserve">8. </w:t>
      </w:r>
      <w:r>
        <w:rPr>
          <w:sz w:val="24"/>
          <w:szCs w:val="24"/>
        </w:rPr>
        <w:t xml:space="preserve">Twelve hours after an emergency splenectomy for blunt abdominal trauma, a 25-year-old man becomes tachycardic and hypotensive, with increasing abdominal distension and a rapidly filling drain bag containing fresh blood. He had been entirely normotensive and clinically stable at the end of the operation.</w:t>
      </w:r>
    </w:p>
    <w:p>
      <w:pPr>
        <w:spacing w:after="120"/>
      </w:pPr>
      <w:r>
        <w:rPr>
          <w:i/>
          <w:iCs/>
          <w:sz w:val="24"/>
          <w:szCs w:val="24"/>
        </w:rPr>
        <w:t xml:space="preserve">What type of postoperative hemorrhage is this, and what is its most likely underlying cause?</w:t>
      </w:r>
    </w:p>
    <w:p>
      <w:pPr>
        <w:spacing w:after="60"/>
        <w:ind w:left="360"/>
      </w:pPr>
      <w:r>
        <w:rPr>
          <w:b/>
          <w:bCs/>
          <w:sz w:val="22"/>
          <w:szCs w:val="22"/>
        </w:rPr>
        <w:t xml:space="preserve">A) </w:t>
      </w:r>
      <w:r>
        <w:rPr>
          <w:sz w:val="22"/>
          <w:szCs w:val="22"/>
        </w:rPr>
        <w:t xml:space="preserve">Primary hemorrhage; ongoing bleeding from the time of surgery</w:t>
      </w:r>
    </w:p>
    <w:p>
      <w:pPr>
        <w:spacing w:after="60"/>
        <w:ind w:left="360"/>
      </w:pPr>
      <w:r>
        <w:rPr>
          <w:b/>
          <w:bCs/>
          <w:sz w:val="22"/>
          <w:szCs w:val="22"/>
        </w:rPr>
        <w:t xml:space="preserve">B) </w:t>
      </w:r>
      <w:r>
        <w:rPr>
          <w:sz w:val="22"/>
          <w:szCs w:val="22"/>
        </w:rPr>
        <w:t xml:space="preserve">Reactionary hemorrhage; inadequate hemostasis or a slipped ligature as postoperative blood pressure rises</w:t>
      </w:r>
    </w:p>
    <w:p>
      <w:pPr>
        <w:spacing w:after="60"/>
        <w:ind w:left="360"/>
      </w:pPr>
      <w:r>
        <w:rPr>
          <w:b/>
          <w:bCs/>
          <w:sz w:val="22"/>
          <w:szCs w:val="22"/>
        </w:rPr>
        <w:t xml:space="preserve">C) </w:t>
      </w:r>
      <w:r>
        <w:rPr>
          <w:sz w:val="22"/>
          <w:szCs w:val="22"/>
        </w:rPr>
        <w:t xml:space="preserve">Secondary hemorrhage; erosion of a vessel by spreading infection</w:t>
      </w:r>
    </w:p>
    <w:p>
      <w:pPr>
        <w:spacing w:after="60"/>
        <w:ind w:left="360"/>
      </w:pPr>
      <w:r>
        <w:rPr>
          <w:b/>
          <w:bCs/>
          <w:sz w:val="22"/>
          <w:szCs w:val="22"/>
        </w:rPr>
        <w:t xml:space="preserve">D) </w:t>
      </w:r>
      <w:r>
        <w:rPr>
          <w:sz w:val="22"/>
          <w:szCs w:val="22"/>
        </w:rPr>
        <w:t xml:space="preserve">Secondary hemorrhage; coagulopathy from massive transfusion</w:t>
      </w:r>
    </w:p>
    <w:p>
      <w:pPr>
        <w:spacing w:after="60"/>
        <w:ind w:left="360"/>
      </w:pPr>
      <w:r>
        <w:rPr>
          <w:b/>
          <w:bCs/>
          <w:sz w:val="22"/>
          <w:szCs w:val="22"/>
        </w:rPr>
        <w:t xml:space="preserve">E) </w:t>
      </w:r>
      <w:r>
        <w:rPr>
          <w:sz w:val="22"/>
          <w:szCs w:val="22"/>
        </w:rPr>
        <w:t xml:space="preserve">Variceal hemorrhage; unrelated to the surgical field</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"primary" bleeding occurs during the operation itself.</w:t>
      </w:r>
    </w:p>
    <w:p>
      <w:pPr>
        <w:spacing w:after="40"/>
        <w:ind w:left="360"/>
      </w:pPr>
      <w:r>
        <w:rPr>
          <w:b/>
          <w:bCs/>
          <w:sz w:val="20"/>
          <w:szCs w:val="20"/>
        </w:rPr>
        <w:t xml:space="preserve">B) </w:t>
      </w:r>
      <w:r>
        <w:rPr>
          <w:sz w:val="20"/>
          <w:szCs w:val="20"/>
        </w:rPr>
        <w:t xml:space="preserve">Correct — bleeding within 24 hours is "reactionary," classically from a slipped ligature/inadequate hemostasis as blood pressure normalizes postoperatively.</w:t>
      </w:r>
    </w:p>
    <w:p>
      <w:pPr>
        <w:spacing w:after="40"/>
        <w:ind w:left="360"/>
      </w:pPr>
      <w:r>
        <w:rPr>
          <w:b/>
          <w:bCs/>
          <w:sz w:val="20"/>
          <w:szCs w:val="20"/>
        </w:rPr>
        <w:t xml:space="preserve">C) </w:t>
      </w:r>
      <w:r>
        <w:rPr>
          <w:sz w:val="20"/>
          <w:szCs w:val="20"/>
        </w:rPr>
        <w:t xml:space="preserve">Incorrect — secondary hemorrhage occurs at 7–10 days from infective erosion, not 12 hours.</w:t>
      </w:r>
    </w:p>
    <w:p>
      <w:pPr>
        <w:spacing w:after="40"/>
        <w:ind w:left="360"/>
      </w:pPr>
      <w:r>
        <w:rPr>
          <w:b/>
          <w:bCs/>
          <w:sz w:val="20"/>
          <w:szCs w:val="20"/>
        </w:rPr>
        <w:t xml:space="preserve">D) </w:t>
      </w:r>
      <w:r>
        <w:rPr>
          <w:sz w:val="20"/>
          <w:szCs w:val="20"/>
        </w:rPr>
        <w:t xml:space="preserve">Incorrect — timing and mechanism don't fit.</w:t>
      </w:r>
    </w:p>
    <w:p>
      <w:pPr>
        <w:spacing w:after="40"/>
        <w:ind w:left="360"/>
      </w:pPr>
      <w:r>
        <w:rPr>
          <w:b/>
          <w:bCs/>
          <w:sz w:val="20"/>
          <w:szCs w:val="20"/>
        </w:rPr>
        <w:t xml:space="preserve">E) </w:t>
      </w:r>
      <w:r>
        <w:rPr>
          <w:sz w:val="20"/>
          <w:szCs w:val="20"/>
        </w:rPr>
        <w:t xml:space="preserve">Incorrect — no findings suggest a variceal source; this is a surgical field bleed.</w:t>
      </w:r>
    </w:p>
    <w:p>
      <w:pPr>
        <w:spacing w:after="200"/>
      </w:pPr>
      <w:r>
        <w:rPr>
          <w:i/>
          <w:iCs/>
          <w:color w:val="595959"/>
          <w:sz w:val="16"/>
          <w:szCs w:val="16"/>
        </w:rPr>
        <w:t xml:space="preserve">Source: TeachMeSurgery — Post-Operative Haemorrhage — https://teachmesurgery.com/perioperative/general-complications/haemorrhage/</w:t>
      </w:r>
    </w:p>
    <w:p>
      <w:pPr>
        <w:spacing w:after="120" w:before="300"/>
      </w:pPr>
      <w:r>
        <w:rPr>
          <w:b/>
          <w:bCs/>
          <w:sz w:val="24"/>
          <w:szCs w:val="24"/>
        </w:rPr>
        <w:t xml:space="preserve">9. </w:t>
      </w:r>
      <w:r>
        <w:rPr>
          <w:sz w:val="24"/>
          <w:szCs w:val="24"/>
        </w:rPr>
        <w:t xml:space="preserve">A 45-year-old woman has an indwelling urinary catheter placed intraoperatively during an elective abdominal hysterectomy for symptomatic fibroids. She recovers uneventfully overnight, is passing urine well, and is mobilizing independently on postoperative day 1, with no ongoing clinical indication for continued catheter drainage.</w:t>
      </w:r>
    </w:p>
    <w:p>
      <w:pPr>
        <w:spacing w:after="120"/>
      </w:pPr>
      <w:r>
        <w:rPr>
          <w:i/>
          <w:iCs/>
          <w:sz w:val="24"/>
          <w:szCs w:val="24"/>
        </w:rPr>
        <w:t xml:space="preserve">According to CDC CAUTI prevention guidelines, what is the most appropriate next step regarding her catheter?</w:t>
      </w:r>
    </w:p>
    <w:p>
      <w:pPr>
        <w:spacing w:after="60"/>
        <w:ind w:left="360"/>
      </w:pPr>
      <w:r>
        <w:rPr>
          <w:b/>
          <w:bCs/>
          <w:sz w:val="22"/>
          <w:szCs w:val="22"/>
        </w:rPr>
        <w:t xml:space="preserve">A) </w:t>
      </w:r>
      <w:r>
        <w:rPr>
          <w:sz w:val="22"/>
          <w:szCs w:val="22"/>
        </w:rPr>
        <w:t xml:space="preserve">Continue the catheter for the full duration of hospital stay for convenience</w:t>
      </w:r>
    </w:p>
    <w:p>
      <w:pPr>
        <w:spacing w:after="60"/>
        <w:ind w:left="360"/>
      </w:pPr>
      <w:r>
        <w:rPr>
          <w:b/>
          <w:bCs/>
          <w:sz w:val="22"/>
          <w:szCs w:val="22"/>
        </w:rPr>
        <w:t xml:space="preserve">B) </w:t>
      </w:r>
      <w:r>
        <w:rPr>
          <w:sz w:val="22"/>
          <w:szCs w:val="22"/>
        </w:rPr>
        <w:t xml:space="preserve">Continue the catheter until postoperative day 5 as routine practice</w:t>
      </w:r>
    </w:p>
    <w:p>
      <w:pPr>
        <w:spacing w:after="60"/>
        <w:ind w:left="360"/>
      </w:pPr>
      <w:r>
        <w:rPr>
          <w:b/>
          <w:bCs/>
          <w:sz w:val="22"/>
          <w:szCs w:val="22"/>
        </w:rPr>
        <w:t xml:space="preserve">C) </w:t>
      </w:r>
      <w:r>
        <w:rPr>
          <w:sz w:val="22"/>
          <w:szCs w:val="22"/>
        </w:rPr>
        <w:t xml:space="preserve">Perform a bladder scan and continue the catheter if bladder volume is normal</w:t>
      </w:r>
    </w:p>
    <w:p>
      <w:pPr>
        <w:spacing w:after="60"/>
        <w:ind w:left="360"/>
      </w:pPr>
      <w:r>
        <w:rPr>
          <w:b/>
          <w:bCs/>
          <w:sz w:val="22"/>
          <w:szCs w:val="22"/>
        </w:rPr>
        <w:t xml:space="preserve">D) </w:t>
      </w:r>
      <w:r>
        <w:rPr>
          <w:sz w:val="22"/>
          <w:szCs w:val="22"/>
        </w:rPr>
        <w:t xml:space="preserve">Remove the catheter as soon as possible, preferably within 24 hours postoperatively</w:t>
      </w:r>
    </w:p>
    <w:p>
      <w:pPr>
        <w:spacing w:after="60"/>
        <w:ind w:left="360"/>
      </w:pPr>
      <w:r>
        <w:rPr>
          <w:b/>
          <w:bCs/>
          <w:sz w:val="22"/>
          <w:szCs w:val="22"/>
        </w:rPr>
        <w:t xml:space="preserve">E) </w:t>
      </w:r>
      <w:r>
        <w:rPr>
          <w:sz w:val="22"/>
          <w:szCs w:val="22"/>
        </w:rPr>
        <w:t xml:space="preserve">Switch to intermittent catheterization every 6 hours instead of removal</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"convenience" is not a valid indication; prolongs infection risk.</w:t>
      </w:r>
    </w:p>
    <w:p>
      <w:pPr>
        <w:spacing w:after="40"/>
        <w:ind w:left="360"/>
      </w:pPr>
      <w:r>
        <w:rPr>
          <w:b/>
          <w:bCs/>
          <w:sz w:val="20"/>
          <w:szCs w:val="20"/>
        </w:rPr>
        <w:t xml:space="preserve">B) </w:t>
      </w:r>
      <w:r>
        <w:rPr>
          <w:sz w:val="20"/>
          <w:szCs w:val="20"/>
        </w:rPr>
        <w:t xml:space="preserve">Incorrect — routine prolongation to day 5 is not evidence-based.</w:t>
      </w:r>
    </w:p>
    <w:p>
      <w:pPr>
        <w:spacing w:after="40"/>
        <w:ind w:left="360"/>
      </w:pPr>
      <w:r>
        <w:rPr>
          <w:b/>
          <w:bCs/>
          <w:sz w:val="20"/>
          <w:szCs w:val="20"/>
        </w:rPr>
        <w:t xml:space="preserve">C) </w:t>
      </w:r>
      <w:r>
        <w:rPr>
          <w:sz w:val="20"/>
          <w:szCs w:val="20"/>
        </w:rPr>
        <w:t xml:space="preserve">Incorrect — continuing without a clinical indication is inappropriate regardless of bladder volume.</w:t>
      </w:r>
    </w:p>
    <w:p>
      <w:pPr>
        <w:spacing w:after="40"/>
        <w:ind w:left="360"/>
      </w:pPr>
      <w:r>
        <w:rPr>
          <w:b/>
          <w:bCs/>
          <w:sz w:val="20"/>
          <w:szCs w:val="20"/>
        </w:rPr>
        <w:t xml:space="preserve">D) </w:t>
      </w:r>
      <w:r>
        <w:rPr>
          <w:sz w:val="20"/>
          <w:szCs w:val="20"/>
        </w:rPr>
        <w:t xml:space="preserve">Correct — CDC guidance recommends removing catheters in operative patients as soon as possible, preferably within 24 hours, absent a valid ongoing indication.</w:t>
      </w:r>
    </w:p>
    <w:p>
      <w:pPr>
        <w:spacing w:after="40"/>
        <w:ind w:left="360"/>
      </w:pPr>
      <w:r>
        <w:rPr>
          <w:b/>
          <w:bCs/>
          <w:sz w:val="20"/>
          <w:szCs w:val="20"/>
        </w:rPr>
        <w:t xml:space="preserve">E) </w:t>
      </w:r>
      <w:r>
        <w:rPr>
          <w:sz w:val="20"/>
          <w:szCs w:val="20"/>
        </w:rPr>
        <w:t xml:space="preserve">Incorrect — unnecessary alternative catheterization when simple removal is appropriate.</w:t>
      </w:r>
    </w:p>
    <w:p>
      <w:pPr>
        <w:spacing w:after="200"/>
      </w:pPr>
      <w:r>
        <w:rPr>
          <w:i/>
          <w:iCs/>
          <w:color w:val="595959"/>
          <w:sz w:val="16"/>
          <w:szCs w:val="16"/>
        </w:rPr>
        <w:t xml:space="preserve">Source: CDC — CAUTI Prevention Guideline — https://www.cdc.gov/infection-control/hcp/cauti/index.html</w:t>
      </w:r>
    </w:p>
    <w:p>
      <w:pPr>
        <w:spacing w:after="120" w:before="300"/>
      </w:pPr>
      <w:r>
        <w:rPr>
          <w:b/>
          <w:bCs/>
          <w:sz w:val="24"/>
          <w:szCs w:val="24"/>
        </w:rPr>
        <w:t xml:space="preserve">10. </w:t>
      </w:r>
      <w:r>
        <w:rPr>
          <w:sz w:val="24"/>
          <w:szCs w:val="24"/>
        </w:rPr>
        <w:t xml:space="preserve">A 70-year-old man underwent an inguinal hernia repair under spinal anesthesia two hours ago. He now complains of suprapubic discomfort and has not voided since surgery. Bladder scan shows a volume of 550 mL, and he received 2 liters of intravenous fluid intraoperatively.</w:t>
      </w:r>
    </w:p>
    <w:p>
      <w:pPr>
        <w:spacing w:after="120"/>
      </w:pPr>
      <w:r>
        <w:rPr>
          <w:i/>
          <w:iCs/>
          <w:sz w:val="24"/>
          <w:szCs w:val="24"/>
        </w:rPr>
        <w:t xml:space="preserve">Given his bladder volume exceeds his estimated maximum bladder capacity, what is the most appropriate immediate management?</w:t>
      </w:r>
    </w:p>
    <w:p>
      <w:pPr>
        <w:spacing w:after="60"/>
        <w:ind w:left="360"/>
      </w:pPr>
      <w:r>
        <w:rPr>
          <w:b/>
          <w:bCs/>
          <w:sz w:val="22"/>
          <w:szCs w:val="22"/>
        </w:rPr>
        <w:t xml:space="preserve">A) </w:t>
      </w:r>
      <w:r>
        <w:rPr>
          <w:sz w:val="22"/>
          <w:szCs w:val="22"/>
        </w:rPr>
        <w:t xml:space="preserve">Continue observation only, as retention typically resolves without any intervention</w:t>
      </w:r>
    </w:p>
    <w:p>
      <w:pPr>
        <w:spacing w:after="60"/>
        <w:ind w:left="360"/>
      </w:pPr>
      <w:r>
        <w:rPr>
          <w:b/>
          <w:bCs/>
          <w:sz w:val="22"/>
          <w:szCs w:val="22"/>
        </w:rPr>
        <w:t xml:space="preserve">B) </w:t>
      </w:r>
      <w:r>
        <w:rPr>
          <w:sz w:val="22"/>
          <w:szCs w:val="22"/>
        </w:rPr>
        <w:t xml:space="preserve">Give an alpha-blocker and wait a further 6 hours before reassessment</w:t>
      </w:r>
    </w:p>
    <w:p>
      <w:pPr>
        <w:spacing w:after="60"/>
        <w:ind w:left="360"/>
      </w:pPr>
      <w:r>
        <w:rPr>
          <w:b/>
          <w:bCs/>
          <w:sz w:val="22"/>
          <w:szCs w:val="22"/>
        </w:rPr>
        <w:t xml:space="preserve">C) </w:t>
      </w:r>
      <w:r>
        <w:rPr>
          <w:sz w:val="22"/>
          <w:szCs w:val="22"/>
        </w:rPr>
        <w:t xml:space="preserve">In-out (intermittent) catheterization</w:t>
      </w:r>
    </w:p>
    <w:p>
      <w:pPr>
        <w:spacing w:after="60"/>
        <w:ind w:left="360"/>
      </w:pPr>
      <w:r>
        <w:rPr>
          <w:b/>
          <w:bCs/>
          <w:sz w:val="22"/>
          <w:szCs w:val="22"/>
        </w:rPr>
        <w:t xml:space="preserve">D) </w:t>
      </w:r>
      <w:r>
        <w:rPr>
          <w:sz w:val="22"/>
          <w:szCs w:val="22"/>
        </w:rPr>
        <w:t xml:space="preserve">Indwelling catheter for a fixed 24-hour period regardless of subsequent output</w:t>
      </w:r>
    </w:p>
    <w:p>
      <w:pPr>
        <w:spacing w:after="60"/>
        <w:ind w:left="360"/>
      </w:pPr>
      <w:r>
        <w:rPr>
          <w:b/>
          <w:bCs/>
          <w:sz w:val="22"/>
          <w:szCs w:val="22"/>
        </w:rPr>
        <w:t xml:space="preserve">E) </w:t>
      </w:r>
      <w:r>
        <w:rPr>
          <w:sz w:val="22"/>
          <w:szCs w:val="22"/>
        </w:rPr>
        <w:t xml:space="preserve">Reassure and encourage oral fluids to promote spontaneous voiding</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 symptomatic, overdistended bladder (&gt;500 mL) needs active intervention.</w:t>
      </w:r>
    </w:p>
    <w:p>
      <w:pPr>
        <w:spacing w:after="40"/>
        <w:ind w:left="360"/>
      </w:pPr>
      <w:r>
        <w:rPr>
          <w:b/>
          <w:bCs/>
          <w:sz w:val="20"/>
          <w:szCs w:val="20"/>
        </w:rPr>
        <w:t xml:space="preserve">B) </w:t>
      </w:r>
      <w:r>
        <w:rPr>
          <w:sz w:val="20"/>
          <w:szCs w:val="20"/>
        </w:rPr>
        <w:t xml:space="preserve">Incorrect — alpha-blockers are for prevention, not for delaying drainage of an already overdistended bladder.</w:t>
      </w:r>
    </w:p>
    <w:p>
      <w:pPr>
        <w:spacing w:after="40"/>
        <w:ind w:left="360"/>
      </w:pPr>
      <w:r>
        <w:rPr>
          <w:b/>
          <w:bCs/>
          <w:sz w:val="20"/>
          <w:szCs w:val="20"/>
        </w:rPr>
        <w:t xml:space="preserve">C) </w:t>
      </w:r>
      <w:r>
        <w:rPr>
          <w:sz w:val="20"/>
          <w:szCs w:val="20"/>
        </w:rPr>
        <w:t xml:space="preserve">Correct — postoperative urinary retention is best managed by in-out catheterization; 24-hour indwelling catheterization offers no added benefit.</w:t>
      </w:r>
    </w:p>
    <w:p>
      <w:pPr>
        <w:spacing w:after="40"/>
        <w:ind w:left="360"/>
      </w:pPr>
      <w:r>
        <w:rPr>
          <w:b/>
          <w:bCs/>
          <w:sz w:val="20"/>
          <w:szCs w:val="20"/>
        </w:rPr>
        <w:t xml:space="preserve">D) </w:t>
      </w:r>
      <w:r>
        <w:rPr>
          <w:sz w:val="20"/>
          <w:szCs w:val="20"/>
        </w:rPr>
        <w:t xml:space="preserve">Incorrect — fixed 24-hour catheterization isn't shown superior and adds catheter-related risk.</w:t>
      </w:r>
    </w:p>
    <w:p>
      <w:pPr>
        <w:spacing w:after="40"/>
        <w:ind w:left="360"/>
      </w:pPr>
      <w:r>
        <w:rPr>
          <w:b/>
          <w:bCs/>
          <w:sz w:val="20"/>
          <w:szCs w:val="20"/>
        </w:rPr>
        <w:t xml:space="preserve">E) </w:t>
      </w:r>
      <w:r>
        <w:rPr>
          <w:sz w:val="20"/>
          <w:szCs w:val="20"/>
        </w:rPr>
        <w:t xml:space="preserve">Incorrect — more fluids will worsen an already overdistended, symptomatic bladder.</w:t>
      </w:r>
    </w:p>
    <w:p>
      <w:pPr>
        <w:spacing w:after="200"/>
      </w:pPr>
      <w:r>
        <w:rPr>
          <w:i/>
          <w:iCs/>
          <w:color w:val="595959"/>
          <w:sz w:val="16"/>
          <w:szCs w:val="16"/>
        </w:rPr>
        <w:t xml:space="preserve">Source: StatPearls — Postoperative Urinary Retention — https://www.ncbi.nlm.nih.gov/books/NBK549844/</w:t>
      </w:r>
    </w:p>
    <w:p>
      <w:pPr>
        <w:spacing w:after="120" w:before="300"/>
      </w:pPr>
      <w:r>
        <w:rPr>
          <w:b/>
          <w:bCs/>
          <w:sz w:val="24"/>
          <w:szCs w:val="24"/>
        </w:rPr>
        <w:t xml:space="preserve">11. </w:t>
      </w:r>
      <w:r>
        <w:rPr>
          <w:sz w:val="24"/>
          <w:szCs w:val="24"/>
        </w:rPr>
        <w:t xml:space="preserve">A 40-year-old man is recovering after open inguinal hernia repair. The anesthesia team plans his postoperative analgesia using a combination of paracetamol, an NSAID, and a local anesthetic wound infiltration, reserving opioids only for breakthrough pain, in line with current enhanced recovery pain protocols.</w:t>
      </w:r>
    </w:p>
    <w:p>
      <w:pPr>
        <w:spacing w:after="120"/>
      </w:pPr>
      <w:r>
        <w:rPr>
          <w:i/>
          <w:iCs/>
          <w:sz w:val="24"/>
          <w:szCs w:val="24"/>
        </w:rPr>
        <w:t xml:space="preserve">What is the main clinical advantage of this multimodal analgesic strategy?</w:t>
      </w:r>
    </w:p>
    <w:p>
      <w:pPr>
        <w:spacing w:after="60"/>
        <w:ind w:left="360"/>
      </w:pPr>
      <w:r>
        <w:rPr>
          <w:b/>
          <w:bCs/>
          <w:sz w:val="22"/>
          <w:szCs w:val="22"/>
        </w:rPr>
        <w:t xml:space="preserve">A) </w:t>
      </w:r>
      <w:r>
        <w:rPr>
          <w:sz w:val="22"/>
          <w:szCs w:val="22"/>
        </w:rPr>
        <w:t xml:space="preserve">Complete elimination of any need for pain assessment postoperatively</w:t>
      </w:r>
    </w:p>
    <w:p>
      <w:pPr>
        <w:spacing w:after="60"/>
        <w:ind w:left="360"/>
      </w:pPr>
      <w:r>
        <w:rPr>
          <w:b/>
          <w:bCs/>
          <w:sz w:val="22"/>
          <w:szCs w:val="22"/>
        </w:rPr>
        <w:t xml:space="preserve">B) </w:t>
      </w:r>
      <w:r>
        <w:rPr>
          <w:sz w:val="22"/>
          <w:szCs w:val="22"/>
        </w:rPr>
        <w:t xml:space="preserve">Guaranteed prevention of chronic postsurgical pain</w:t>
      </w:r>
    </w:p>
    <w:p>
      <w:pPr>
        <w:spacing w:after="60"/>
        <w:ind w:left="360"/>
      </w:pPr>
      <w:r>
        <w:rPr>
          <w:b/>
          <w:bCs/>
          <w:sz w:val="22"/>
          <w:szCs w:val="22"/>
        </w:rPr>
        <w:t xml:space="preserve">C) </w:t>
      </w:r>
      <w:r>
        <w:rPr>
          <w:sz w:val="22"/>
          <w:szCs w:val="22"/>
        </w:rPr>
        <w:t xml:space="preserve">It targets a single pain pathway more intensely than opioids alone</w:t>
      </w:r>
    </w:p>
    <w:p>
      <w:pPr>
        <w:spacing w:after="60"/>
        <w:ind w:left="360"/>
      </w:pPr>
      <w:r>
        <w:rPr>
          <w:b/>
          <w:bCs/>
          <w:sz w:val="22"/>
          <w:szCs w:val="22"/>
        </w:rPr>
        <w:t xml:space="preserve">D) </w:t>
      </w:r>
      <w:r>
        <w:rPr>
          <w:sz w:val="22"/>
          <w:szCs w:val="22"/>
        </w:rPr>
        <w:t xml:space="preserve">Reduced opioid consumption and opioid-related adverse effects, such as nausea and sedation</w:t>
      </w:r>
    </w:p>
    <w:p>
      <w:pPr>
        <w:spacing w:after="60"/>
        <w:ind w:left="360"/>
      </w:pPr>
      <w:r>
        <w:rPr>
          <w:b/>
          <w:bCs/>
          <w:sz w:val="22"/>
          <w:szCs w:val="22"/>
        </w:rPr>
        <w:t xml:space="preserve">E) </w:t>
      </w:r>
      <w:r>
        <w:rPr>
          <w:sz w:val="22"/>
          <w:szCs w:val="22"/>
        </w:rPr>
        <w:t xml:space="preserve">Requirement for a longer hospital stay to monitor multiple drug interactions</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pain assessment is still essential.</w:t>
      </w:r>
    </w:p>
    <w:p>
      <w:pPr>
        <w:spacing w:after="40"/>
        <w:ind w:left="360"/>
      </w:pPr>
      <w:r>
        <w:rPr>
          <w:b/>
          <w:bCs/>
          <w:sz w:val="20"/>
          <w:szCs w:val="20"/>
        </w:rPr>
        <w:t xml:space="preserve">B) </w:t>
      </w:r>
      <w:r>
        <w:rPr>
          <w:sz w:val="20"/>
          <w:szCs w:val="20"/>
        </w:rPr>
        <w:t xml:space="preserve">Incorrect — reduces, but does not guarantee prevention of, chronic pain.</w:t>
      </w:r>
    </w:p>
    <w:p>
      <w:pPr>
        <w:spacing w:after="40"/>
        <w:ind w:left="360"/>
      </w:pPr>
      <w:r>
        <w:rPr>
          <w:b/>
          <w:bCs/>
          <w:sz w:val="20"/>
          <w:szCs w:val="20"/>
        </w:rPr>
        <w:t xml:space="preserve">C) </w:t>
      </w:r>
      <w:r>
        <w:rPr>
          <w:sz w:val="20"/>
          <w:szCs w:val="20"/>
        </w:rPr>
        <w:t xml:space="preserve">Incorrect — the strategy targets multiple pathways, not one intensely.</w:t>
      </w:r>
    </w:p>
    <w:p>
      <w:pPr>
        <w:spacing w:after="40"/>
        <w:ind w:left="360"/>
      </w:pPr>
      <w:r>
        <w:rPr>
          <w:b/>
          <w:bCs/>
          <w:sz w:val="20"/>
          <w:szCs w:val="20"/>
        </w:rPr>
        <w:t xml:space="preserve">D) </w:t>
      </w:r>
      <w:r>
        <w:rPr>
          <w:sz w:val="20"/>
          <w:szCs w:val="20"/>
        </w:rPr>
        <w:t xml:space="preserve">Correct — combining agents targeting different pathways reduces total opioid requirement and related side effects.</w:t>
      </w:r>
    </w:p>
    <w:p>
      <w:pPr>
        <w:spacing w:after="40"/>
        <w:ind w:left="360"/>
      </w:pPr>
      <w:r>
        <w:rPr>
          <w:b/>
          <w:bCs/>
          <w:sz w:val="20"/>
          <w:szCs w:val="20"/>
        </w:rPr>
        <w:t xml:space="preserve">E) </w:t>
      </w:r>
      <w:r>
        <w:rPr>
          <w:sz w:val="20"/>
          <w:szCs w:val="20"/>
        </w:rPr>
        <w:t xml:space="preserve">Incorrect — multimodal analgesia is associated with faster recovery, not longer stay.</w:t>
      </w:r>
    </w:p>
    <w:p>
      <w:pPr>
        <w:spacing w:after="200"/>
      </w:pPr>
      <w:r>
        <w:rPr>
          <w:i/>
          <w:iCs/>
          <w:color w:val="595959"/>
          <w:sz w:val="16"/>
          <w:szCs w:val="16"/>
        </w:rPr>
        <w:t xml:space="preserve">Source: APSF — Multimodal Analgesia and Alternatives to Opioids — https://www.apsf.org/article/multimodal-analgesia-and-alternatives-to-opioids-for-postoperative-analgesia/</w:t>
      </w:r>
    </w:p>
    <w:p>
      <w:pPr>
        <w:spacing w:after="120" w:before="300"/>
      </w:pPr>
      <w:r>
        <w:rPr>
          <w:b/>
          <w:bCs/>
          <w:sz w:val="24"/>
          <w:szCs w:val="24"/>
        </w:rPr>
        <w:t xml:space="preserve">12. </w:t>
      </w:r>
      <w:r>
        <w:rPr>
          <w:sz w:val="24"/>
          <w:szCs w:val="24"/>
        </w:rPr>
        <w:t xml:space="preserve">On postoperative day 6 after a laparoscopic anterior resection for rectal cancer, a 65-year-old man develops persistent low-grade fever, diffuse abdominal pain, tachycardia, and prolonged ileus with failure to pass flatus. He appears increasingly unwell and fails to "rally," despite an otherwise unremarkable abdominal wound.</w:t>
      </w:r>
    </w:p>
    <w:p>
      <w:pPr>
        <w:spacing w:after="120"/>
      </w:pPr>
      <w:r>
        <w:rPr>
          <w:i/>
          <w:iCs/>
          <w:sz w:val="24"/>
          <w:szCs w:val="24"/>
        </w:rPr>
        <w:t xml:space="preserve">What is the most appropriate first-line investigation to confirm the suspected diagnosis?</w:t>
      </w:r>
    </w:p>
    <w:p>
      <w:pPr>
        <w:spacing w:after="60"/>
        <w:ind w:left="360"/>
      </w:pPr>
      <w:r>
        <w:rPr>
          <w:b/>
          <w:bCs/>
          <w:sz w:val="22"/>
          <w:szCs w:val="22"/>
        </w:rPr>
        <w:t xml:space="preserve">A) </w:t>
      </w:r>
      <w:r>
        <w:rPr>
          <w:sz w:val="22"/>
          <w:szCs w:val="22"/>
        </w:rPr>
        <w:t xml:space="preserve">Abdominal X-ray alone</w:t>
      </w:r>
    </w:p>
    <w:p>
      <w:pPr>
        <w:spacing w:after="60"/>
        <w:ind w:left="360"/>
      </w:pPr>
      <w:r>
        <w:rPr>
          <w:b/>
          <w:bCs/>
          <w:sz w:val="22"/>
          <w:szCs w:val="22"/>
        </w:rPr>
        <w:t xml:space="preserve">B) </w:t>
      </w:r>
      <w:r>
        <w:rPr>
          <w:sz w:val="22"/>
          <w:szCs w:val="22"/>
        </w:rPr>
        <w:t xml:space="preserve">CT abdomen and pelvis with IV and rectal contrast</w:t>
      </w:r>
    </w:p>
    <w:p>
      <w:pPr>
        <w:spacing w:after="60"/>
        <w:ind w:left="360"/>
      </w:pPr>
      <w:r>
        <w:rPr>
          <w:b/>
          <w:bCs/>
          <w:sz w:val="22"/>
          <w:szCs w:val="22"/>
        </w:rPr>
        <w:t xml:space="preserve">C) </w:t>
      </w:r>
      <w:r>
        <w:rPr>
          <w:sz w:val="22"/>
          <w:szCs w:val="22"/>
        </w:rPr>
        <w:t xml:space="preserve">Colonoscopy</w:t>
      </w:r>
    </w:p>
    <w:p>
      <w:pPr>
        <w:spacing w:after="60"/>
        <w:ind w:left="360"/>
      </w:pPr>
      <w:r>
        <w:rPr>
          <w:b/>
          <w:bCs/>
          <w:sz w:val="22"/>
          <w:szCs w:val="22"/>
        </w:rPr>
        <w:t xml:space="preserve">D) </w:t>
      </w:r>
      <w:r>
        <w:rPr>
          <w:sz w:val="22"/>
          <w:szCs w:val="22"/>
        </w:rPr>
        <w:t xml:space="preserve">Repeat clinical review only, with no imaging at this stage</w:t>
      </w:r>
    </w:p>
    <w:p>
      <w:pPr>
        <w:spacing w:after="60"/>
        <w:ind w:left="360"/>
      </w:pPr>
      <w:r>
        <w:rPr>
          <w:b/>
          <w:bCs/>
          <w:sz w:val="22"/>
          <w:szCs w:val="22"/>
        </w:rPr>
        <w:t xml:space="preserve">E) </w:t>
      </w:r>
      <w:r>
        <w:rPr>
          <w:sz w:val="22"/>
          <w:szCs w:val="22"/>
        </w:rPr>
        <w:t xml:space="preserve">Ultrasound abdomen</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plain X-ray lacks sensitivity for the extraluminal air/collections of a leak.</w:t>
      </w:r>
    </w:p>
    <w:p>
      <w:pPr>
        <w:spacing w:after="40"/>
        <w:ind w:left="360"/>
      </w:pPr>
      <w:r>
        <w:rPr>
          <w:b/>
          <w:bCs/>
          <w:sz w:val="20"/>
          <w:szCs w:val="20"/>
        </w:rPr>
        <w:t xml:space="preserve">B) </w:t>
      </w:r>
      <w:r>
        <w:rPr>
          <w:sz w:val="20"/>
          <w:szCs w:val="20"/>
        </w:rPr>
        <w:t xml:space="preserve">Correct — CT abdomen/pelvis with IV and rectal contrast is first-line for suspected anastomotic leak.</w:t>
      </w:r>
    </w:p>
    <w:p>
      <w:pPr>
        <w:spacing w:after="40"/>
        <w:ind w:left="360"/>
      </w:pPr>
      <w:r>
        <w:rPr>
          <w:b/>
          <w:bCs/>
          <w:sz w:val="20"/>
          <w:szCs w:val="20"/>
        </w:rPr>
        <w:t xml:space="preserve">C) </w:t>
      </w:r>
      <w:r>
        <w:rPr>
          <w:sz w:val="20"/>
          <w:szCs w:val="20"/>
        </w:rPr>
        <w:t xml:space="preserve">Incorrect — risks perforation across a fresh anastomosis; not first-line.</w:t>
      </w:r>
    </w:p>
    <w:p>
      <w:pPr>
        <w:spacing w:after="40"/>
        <w:ind w:left="360"/>
      </w:pPr>
      <w:r>
        <w:rPr>
          <w:b/>
          <w:bCs/>
          <w:sz w:val="20"/>
          <w:szCs w:val="20"/>
        </w:rPr>
        <w:t xml:space="preserve">D) </w:t>
      </w:r>
      <w:r>
        <w:rPr>
          <w:sz w:val="20"/>
          <w:szCs w:val="20"/>
        </w:rPr>
        <w:t xml:space="preserve">Incorrect — these subtle-but-concerning signs warrant prompt imaging.</w:t>
      </w:r>
    </w:p>
    <w:p>
      <w:pPr>
        <w:spacing w:after="40"/>
        <w:ind w:left="360"/>
      </w:pPr>
      <w:r>
        <w:rPr>
          <w:b/>
          <w:bCs/>
          <w:sz w:val="20"/>
          <w:szCs w:val="20"/>
        </w:rPr>
        <w:t xml:space="preserve">E) </w:t>
      </w:r>
      <w:r>
        <w:rPr>
          <w:sz w:val="20"/>
          <w:szCs w:val="20"/>
        </w:rPr>
        <w:t xml:space="preserve">Incorrect — less sensitive than CT for deep collections/free air.</w:t>
      </w:r>
    </w:p>
    <w:p>
      <w:pPr>
        <w:spacing w:after="200"/>
      </w:pPr>
      <w:r>
        <w:rPr>
          <w:i/>
          <w:iCs/>
          <w:color w:val="595959"/>
          <w:sz w:val="16"/>
          <w:szCs w:val="16"/>
        </w:rPr>
        <w:t xml:space="preserve">Source: Anastomotic Leaks After Colon Surgery — Clinical Review — https://www.pulmccm.org/p/anastomotic-leaks-after-colon-surgery</w:t>
      </w:r>
    </w:p>
    <w:p>
      <w:pPr>
        <w:spacing w:after="120" w:before="300"/>
      </w:pPr>
      <w:r>
        <w:rPr>
          <w:b/>
          <w:bCs/>
          <w:sz w:val="24"/>
          <w:szCs w:val="24"/>
        </w:rPr>
        <w:t xml:space="preserve">13. </w:t>
      </w:r>
      <w:r>
        <w:rPr>
          <w:sz w:val="24"/>
          <w:szCs w:val="24"/>
        </w:rPr>
        <w:t xml:space="preserve">A 50-year-old woman has undergone an elective open colonic resection with primary anastomosis. She is hemodynamically stable, has no signs of ileus or leak, and her surgical team follows current enhanced recovery evidence when deciding on the timing of resuming oral diet.</w:t>
      </w:r>
    </w:p>
    <w:p>
      <w:pPr>
        <w:spacing w:after="120"/>
      </w:pPr>
      <w:r>
        <w:rPr>
          <w:i/>
          <w:iCs/>
          <w:sz w:val="24"/>
          <w:szCs w:val="24"/>
        </w:rPr>
        <w:t xml:space="preserve">According to current evidence-based guidelines, what is the most appropriate approach to oral feeding for this patient?</w:t>
      </w:r>
    </w:p>
    <w:p>
      <w:pPr>
        <w:spacing w:after="60"/>
        <w:ind w:left="360"/>
      </w:pPr>
      <w:r>
        <w:rPr>
          <w:b/>
          <w:bCs/>
          <w:sz w:val="22"/>
          <w:szCs w:val="22"/>
        </w:rPr>
        <w:t xml:space="preserve">A) </w:t>
      </w:r>
      <w:r>
        <w:rPr>
          <w:sz w:val="22"/>
          <w:szCs w:val="22"/>
        </w:rPr>
        <w:t xml:space="preserve">Delay oral intake until postoperative day 7 regardless of clinical progress</w:t>
      </w:r>
    </w:p>
    <w:p>
      <w:pPr>
        <w:spacing w:after="60"/>
        <w:ind w:left="360"/>
      </w:pPr>
      <w:r>
        <w:rPr>
          <w:b/>
          <w:bCs/>
          <w:sz w:val="22"/>
          <w:szCs w:val="22"/>
        </w:rPr>
        <w:t xml:space="preserve">B) </w:t>
      </w:r>
      <w:r>
        <w:rPr>
          <w:sz w:val="22"/>
          <w:szCs w:val="22"/>
        </w:rPr>
        <w:t xml:space="preserve">Early resumption of oral intake, as it is safe and does not increase dehiscence risk</w:t>
      </w:r>
    </w:p>
    <w:p>
      <w:pPr>
        <w:spacing w:after="60"/>
        <w:ind w:left="360"/>
      </w:pPr>
      <w:r>
        <w:rPr>
          <w:b/>
          <w:bCs/>
          <w:sz w:val="22"/>
          <w:szCs w:val="22"/>
        </w:rPr>
        <w:t xml:space="preserve">C) </w:t>
      </w:r>
      <w:r>
        <w:rPr>
          <w:sz w:val="22"/>
          <w:szCs w:val="22"/>
        </w:rPr>
        <w:t xml:space="preserve">Nil by mouth until flatus is passed and bowel sounds return fully to normal</w:t>
      </w:r>
    </w:p>
    <w:p>
      <w:pPr>
        <w:spacing w:after="60"/>
        <w:ind w:left="360"/>
      </w:pPr>
      <w:r>
        <w:rPr>
          <w:b/>
          <w:bCs/>
          <w:sz w:val="22"/>
          <w:szCs w:val="22"/>
        </w:rPr>
        <w:t xml:space="preserve">D) </w:t>
      </w:r>
      <w:r>
        <w:rPr>
          <w:sz w:val="22"/>
          <w:szCs w:val="22"/>
        </w:rPr>
        <w:t xml:space="preserve">Strict clear fluids only for the first 5 postoperative days</w:t>
      </w:r>
    </w:p>
    <w:p>
      <w:pPr>
        <w:spacing w:after="60"/>
        <w:ind w:left="360"/>
      </w:pPr>
      <w:r>
        <w:rPr>
          <w:b/>
          <w:bCs/>
          <w:sz w:val="22"/>
          <w:szCs w:val="22"/>
        </w:rPr>
        <w:t xml:space="preserve">E) </w:t>
      </w:r>
      <w:r>
        <w:rPr>
          <w:sz w:val="22"/>
          <w:szCs w:val="22"/>
        </w:rPr>
        <w:t xml:space="preserve">Wait for formal radiological confirmation of anastomotic integrity before allowing any oral intake</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prolonged fasting is not supported by current evidence.</w:t>
      </w:r>
    </w:p>
    <w:p>
      <w:pPr>
        <w:spacing w:after="40"/>
        <w:ind w:left="360"/>
      </w:pPr>
      <w:r>
        <w:rPr>
          <w:b/>
          <w:bCs/>
          <w:sz w:val="20"/>
          <w:szCs w:val="20"/>
        </w:rPr>
        <w:t xml:space="preserve">B) </w:t>
      </w:r>
      <w:r>
        <w:rPr>
          <w:sz w:val="20"/>
          <w:szCs w:val="20"/>
        </w:rPr>
        <w:t xml:space="preserve">Correct — current guidelines (PQI, ASER, ESPEN) recommend early oral intake after GI surgery; it is safe, doesn't increase dehiscence risk, and speeds recovery.</w:t>
      </w:r>
    </w:p>
    <w:p>
      <w:pPr>
        <w:spacing w:after="40"/>
        <w:ind w:left="360"/>
      </w:pPr>
      <w:r>
        <w:rPr>
          <w:b/>
          <w:bCs/>
          <w:sz w:val="20"/>
          <w:szCs w:val="20"/>
        </w:rPr>
        <w:t xml:space="preserve">C) </w:t>
      </w:r>
      <w:r>
        <w:rPr>
          <w:sz w:val="20"/>
          <w:szCs w:val="20"/>
        </w:rPr>
        <w:t xml:space="preserve">Incorrect — traditional "nil by mouth until flatus" is outdated.</w:t>
      </w:r>
    </w:p>
    <w:p>
      <w:pPr>
        <w:spacing w:after="40"/>
        <w:ind w:left="360"/>
      </w:pPr>
      <w:r>
        <w:rPr>
          <w:b/>
          <w:bCs/>
          <w:sz w:val="20"/>
          <w:szCs w:val="20"/>
        </w:rPr>
        <w:t xml:space="preserve">D) </w:t>
      </w:r>
      <w:r>
        <w:rPr>
          <w:sz w:val="20"/>
          <w:szCs w:val="20"/>
        </w:rPr>
        <w:t xml:space="preserve">Incorrect — unnecessarily restrictive.</w:t>
      </w:r>
    </w:p>
    <w:p>
      <w:pPr>
        <w:spacing w:after="40"/>
        <w:ind w:left="360"/>
      </w:pPr>
      <w:r>
        <w:rPr>
          <w:b/>
          <w:bCs/>
          <w:sz w:val="20"/>
          <w:szCs w:val="20"/>
        </w:rPr>
        <w:t xml:space="preserve">E) </w:t>
      </w:r>
      <w:r>
        <w:rPr>
          <w:sz w:val="20"/>
          <w:szCs w:val="20"/>
        </w:rPr>
        <w:t xml:space="preserve">Incorrect — routine radiological confirmation before feeding is not standard.</w:t>
      </w:r>
    </w:p>
    <w:p>
      <w:pPr>
        <w:spacing w:after="200"/>
      </w:pPr>
      <w:r>
        <w:rPr>
          <w:i/>
          <w:iCs/>
          <w:color w:val="595959"/>
          <w:sz w:val="16"/>
          <w:szCs w:val="16"/>
        </w:rPr>
        <w:t xml:space="preserve">Source: Early Oral Feeding After GI Surgery — Systematic Review, PMC — https://pmc.ncbi.nlm.nih.gov/articles/PMC11137291/</w:t>
      </w:r>
    </w:p>
    <w:p>
      <w:pPr>
        <w:spacing w:after="120" w:before="300"/>
      </w:pPr>
      <w:r>
        <w:rPr>
          <w:b/>
          <w:bCs/>
          <w:sz w:val="24"/>
          <w:szCs w:val="24"/>
        </w:rPr>
        <w:t xml:space="preserve">14. </w:t>
      </w:r>
      <w:r>
        <w:rPr>
          <w:sz w:val="24"/>
          <w:szCs w:val="24"/>
        </w:rPr>
        <w:t xml:space="preserve">A 55-year-old smoker, three days after open upper abdominal surgery, develops mild hypoxia and a low-grade fever. Chest examination reveals reduced air entry at both lung bases with no crackles or wheeze. The physiotherapy team recommends deep breathing exercises and incentive spirometry alongside adequate pain control.</w:t>
      </w:r>
    </w:p>
    <w:p>
      <w:pPr>
        <w:spacing w:after="120"/>
      </w:pPr>
      <w:r>
        <w:rPr>
          <w:i/>
          <w:iCs/>
          <w:sz w:val="24"/>
          <w:szCs w:val="24"/>
        </w:rPr>
        <w:t xml:space="preserve">What is the underlying mechanism of this postoperative pulmonary complication?</w:t>
      </w:r>
    </w:p>
    <w:p>
      <w:pPr>
        <w:spacing w:after="60"/>
        <w:ind w:left="360"/>
      </w:pPr>
      <w:r>
        <w:rPr>
          <w:b/>
          <w:bCs/>
          <w:sz w:val="22"/>
          <w:szCs w:val="22"/>
        </w:rPr>
        <w:t xml:space="preserve">A) </w:t>
      </w:r>
      <w:r>
        <w:rPr>
          <w:sz w:val="22"/>
          <w:szCs w:val="22"/>
        </w:rPr>
        <w:t xml:space="preserve">Aspiration of gastric contents</w:t>
      </w:r>
    </w:p>
    <w:p>
      <w:pPr>
        <w:spacing w:after="60"/>
        <w:ind w:left="360"/>
      </w:pPr>
      <w:r>
        <w:rPr>
          <w:b/>
          <w:bCs/>
          <w:sz w:val="22"/>
          <w:szCs w:val="22"/>
        </w:rPr>
        <w:t xml:space="preserve">B) </w:t>
      </w:r>
      <w:r>
        <w:rPr>
          <w:sz w:val="22"/>
          <w:szCs w:val="22"/>
        </w:rPr>
        <w:t xml:space="preserve">Massive pulmonary embolism</w:t>
      </w:r>
    </w:p>
    <w:p>
      <w:pPr>
        <w:spacing w:after="60"/>
        <w:ind w:left="360"/>
      </w:pPr>
      <w:r>
        <w:rPr>
          <w:b/>
          <w:bCs/>
          <w:sz w:val="22"/>
          <w:szCs w:val="22"/>
        </w:rPr>
        <w:t xml:space="preserve">C) </w:t>
      </w:r>
      <w:r>
        <w:rPr>
          <w:sz w:val="22"/>
          <w:szCs w:val="22"/>
        </w:rPr>
        <w:t xml:space="preserve">Pneumothorax from central line insertion</w:t>
      </w:r>
    </w:p>
    <w:p>
      <w:pPr>
        <w:spacing w:after="60"/>
        <w:ind w:left="360"/>
      </w:pPr>
      <w:r>
        <w:rPr>
          <w:b/>
          <w:bCs/>
          <w:sz w:val="22"/>
          <w:szCs w:val="22"/>
        </w:rPr>
        <w:t xml:space="preserve">D) </w:t>
      </w:r>
      <w:r>
        <w:rPr>
          <w:sz w:val="22"/>
          <w:szCs w:val="22"/>
        </w:rPr>
        <w:t xml:space="preserve">Pulmonary edema from fluid overload</w:t>
      </w:r>
    </w:p>
    <w:p>
      <w:pPr>
        <w:spacing w:after="60"/>
        <w:ind w:left="360"/>
      </w:pPr>
      <w:r>
        <w:rPr>
          <w:b/>
          <w:bCs/>
          <w:sz w:val="22"/>
          <w:szCs w:val="22"/>
        </w:rPr>
        <w:t xml:space="preserve">E) </w:t>
      </w:r>
      <w:r>
        <w:rPr>
          <w:sz w:val="22"/>
          <w:szCs w:val="22"/>
        </w:rPr>
        <w:t xml:space="preserve">Regional hypoventilation and airway closure in dependent lung areas leading to atelectasis</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history of aspiration; presentation fits gradual atelectasis.</w:t>
      </w:r>
    </w:p>
    <w:p>
      <w:pPr>
        <w:spacing w:after="40"/>
        <w:ind w:left="360"/>
      </w:pPr>
      <w:r>
        <w:rPr>
          <w:b/>
          <w:bCs/>
          <w:sz w:val="20"/>
          <w:szCs w:val="20"/>
        </w:rPr>
        <w:t xml:space="preserve">B) </w:t>
      </w:r>
      <w:r>
        <w:rPr>
          <w:sz w:val="20"/>
          <w:szCs w:val="20"/>
        </w:rPr>
        <w:t xml:space="preserve">Incorrect — PE typically presents acutely with pleuritic pain/tachycardia.</w:t>
      </w:r>
    </w:p>
    <w:p>
      <w:pPr>
        <w:spacing w:after="40"/>
        <w:ind w:left="360"/>
      </w:pPr>
      <w:r>
        <w:rPr>
          <w:b/>
          <w:bCs/>
          <w:sz w:val="20"/>
          <w:szCs w:val="20"/>
        </w:rPr>
        <w:t xml:space="preserve">C) </w:t>
      </w:r>
      <w:r>
        <w:rPr>
          <w:sz w:val="20"/>
          <w:szCs w:val="20"/>
        </w:rPr>
        <w:t xml:space="preserve">Incorrect — no central line; pneumothorax presents acutely, not gradually bibasilar.</w:t>
      </w:r>
    </w:p>
    <w:p>
      <w:pPr>
        <w:spacing w:after="40"/>
        <w:ind w:left="360"/>
      </w:pPr>
      <w:r>
        <w:rPr>
          <w:b/>
          <w:bCs/>
          <w:sz w:val="20"/>
          <w:szCs w:val="20"/>
        </w:rPr>
        <w:t xml:space="preserve">D) </w:t>
      </w:r>
      <w:r>
        <w:rPr>
          <w:sz w:val="20"/>
          <w:szCs w:val="20"/>
        </w:rPr>
        <w:t xml:space="preserve">Incorrect — no signs of fluid overload described.</w:t>
      </w:r>
    </w:p>
    <w:p>
      <w:pPr>
        <w:spacing w:after="40"/>
        <w:ind w:left="360"/>
      </w:pPr>
      <w:r>
        <w:rPr>
          <w:b/>
          <w:bCs/>
          <w:sz w:val="20"/>
          <w:szCs w:val="20"/>
        </w:rPr>
        <w:t xml:space="preserve">E) </w:t>
      </w:r>
      <w:r>
        <w:rPr>
          <w:sz w:val="20"/>
          <w:szCs w:val="20"/>
        </w:rPr>
        <w:t xml:space="preserve">Correct — atelectasis, the most common postoperative pulmonary complication, results from regional hypoventilation and dependent airway closure, worsened by supine positioning, pain-limited breathing, and smoking.</w:t>
      </w:r>
    </w:p>
    <w:p>
      <w:pPr>
        <w:spacing w:after="200"/>
      </w:pPr>
      <w:r>
        <w:rPr>
          <w:i/>
          <w:iCs/>
          <w:color w:val="595959"/>
          <w:sz w:val="16"/>
          <w:szCs w:val="16"/>
        </w:rPr>
        <w:t xml:space="preserve">Source: Perioperative Pulmonary Atelectasis — Clinical Implications, PMC — https://pmc.ncbi.nlm.nih.gov/articles/PMC9885487/</w:t>
      </w:r>
    </w:p>
    <w:p>
      <w:pPr>
        <w:spacing w:after="120" w:before="300"/>
      </w:pPr>
      <w:r>
        <w:rPr>
          <w:b/>
          <w:bCs/>
          <w:sz w:val="24"/>
          <w:szCs w:val="24"/>
        </w:rPr>
        <w:t xml:space="preserve">15. </w:t>
      </w:r>
      <w:r>
        <w:rPr>
          <w:sz w:val="24"/>
          <w:szCs w:val="24"/>
        </w:rPr>
        <w:t xml:space="preserve">A 60-year-old man is recovering after a major open abdominal operation. On postoperative day 2, he has gained several kilograms in weight, has peripheral edema, and his intraoperative fluid chart shows large volumes of crystalloid were given to compensate for presumed losses into a "third space."</w:t>
      </w:r>
    </w:p>
    <w:p>
      <w:pPr>
        <w:spacing w:after="120"/>
      </w:pPr>
      <w:r>
        <w:rPr>
          <w:i/>
          <w:iCs/>
          <w:sz w:val="24"/>
          <w:szCs w:val="24"/>
        </w:rPr>
        <w:t xml:space="preserve">Which statement best describes the concept of "third-spacing" and its implication for fluid management?</w:t>
      </w:r>
    </w:p>
    <w:p>
      <w:pPr>
        <w:spacing w:after="60"/>
        <w:ind w:left="360"/>
      </w:pPr>
      <w:r>
        <w:rPr>
          <w:b/>
          <w:bCs/>
          <w:sz w:val="22"/>
          <w:szCs w:val="22"/>
        </w:rPr>
        <w:t xml:space="preserve">A) </w:t>
      </w:r>
      <w:r>
        <w:rPr>
          <w:sz w:val="22"/>
          <w:szCs w:val="22"/>
        </w:rPr>
        <w:t xml:space="preserve">Fluid in the third space is functionally sequestered and hemodynamically inactive, so replacing it aggressively risks fluid overload</w:t>
      </w:r>
    </w:p>
    <w:p>
      <w:pPr>
        <w:spacing w:after="60"/>
        <w:ind w:left="360"/>
      </w:pPr>
      <w:r>
        <w:rPr>
          <w:b/>
          <w:bCs/>
          <w:sz w:val="22"/>
          <w:szCs w:val="22"/>
        </w:rPr>
        <w:t xml:space="preserve">B) </w:t>
      </w:r>
      <w:r>
        <w:rPr>
          <w:sz w:val="22"/>
          <w:szCs w:val="22"/>
        </w:rPr>
        <w:t xml:space="preserve">It refers to fluid loss exclusively through surgical drains</w:t>
      </w:r>
    </w:p>
    <w:p>
      <w:pPr>
        <w:spacing w:after="60"/>
        <w:ind w:left="360"/>
      </w:pPr>
      <w:r>
        <w:rPr>
          <w:b/>
          <w:bCs/>
          <w:sz w:val="22"/>
          <w:szCs w:val="22"/>
        </w:rPr>
        <w:t xml:space="preserve">C) </w:t>
      </w:r>
      <w:r>
        <w:rPr>
          <w:sz w:val="22"/>
          <w:szCs w:val="22"/>
        </w:rPr>
        <w:t xml:space="preserve">It represents intravascular fluid that should be replaced milliliter-for-milliliter</w:t>
      </w:r>
    </w:p>
    <w:p>
      <w:pPr>
        <w:spacing w:after="60"/>
        <w:ind w:left="360"/>
      </w:pPr>
      <w:r>
        <w:rPr>
          <w:b/>
          <w:bCs/>
          <w:sz w:val="22"/>
          <w:szCs w:val="22"/>
        </w:rPr>
        <w:t xml:space="preserve">D) </w:t>
      </w:r>
      <w:r>
        <w:rPr>
          <w:sz w:val="22"/>
          <w:szCs w:val="22"/>
        </w:rPr>
        <w:t xml:space="preserve">It requires diuretics intraoperatively to prevent fluid accumulation</w:t>
      </w:r>
    </w:p>
    <w:p>
      <w:pPr>
        <w:spacing w:after="60"/>
        <w:ind w:left="360"/>
      </w:pPr>
      <w:r>
        <w:rPr>
          <w:b/>
          <w:bCs/>
          <w:sz w:val="22"/>
          <w:szCs w:val="22"/>
        </w:rPr>
        <w:t xml:space="preserve">E) </w:t>
      </w:r>
      <w:r>
        <w:rPr>
          <w:sz w:val="22"/>
          <w:szCs w:val="22"/>
        </w:rPr>
        <w:t xml:space="preserve">Third-spacing does not occur in modern anesthetic practice and can be disregarded</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third-space fluid is sequestered outside the functional circulation and hemodynamically inactive; over-replacing it contributes to weight gain and edema, and current evidence favors more restrictive, zero-balance strategies.</w:t>
      </w:r>
    </w:p>
    <w:p>
      <w:pPr>
        <w:spacing w:after="40"/>
        <w:ind w:left="360"/>
      </w:pPr>
      <w:r>
        <w:rPr>
          <w:b/>
          <w:bCs/>
          <w:sz w:val="20"/>
          <w:szCs w:val="20"/>
        </w:rPr>
        <w:t xml:space="preserve">B) </w:t>
      </w:r>
      <w:r>
        <w:rPr>
          <w:sz w:val="20"/>
          <w:szCs w:val="20"/>
        </w:rPr>
        <w:t xml:space="preserve">Incorrect — drain loss is a separate, measurable external loss.</w:t>
      </w:r>
    </w:p>
    <w:p>
      <w:pPr>
        <w:spacing w:after="40"/>
        <w:ind w:left="360"/>
      </w:pPr>
      <w:r>
        <w:rPr>
          <w:b/>
          <w:bCs/>
          <w:sz w:val="20"/>
          <w:szCs w:val="20"/>
        </w:rPr>
        <w:t xml:space="preserve">C) </w:t>
      </w:r>
      <w:r>
        <w:rPr>
          <w:sz w:val="20"/>
          <w:szCs w:val="20"/>
        </w:rPr>
        <w:t xml:space="preserve">Incorrect — third-space fluid is not part of the functioning intravascular volume.</w:t>
      </w:r>
    </w:p>
    <w:p>
      <w:pPr>
        <w:spacing w:after="40"/>
        <w:ind w:left="360"/>
      </w:pPr>
      <w:r>
        <w:rPr>
          <w:b/>
          <w:bCs/>
          <w:sz w:val="20"/>
          <w:szCs w:val="20"/>
        </w:rPr>
        <w:t xml:space="preserve">D) </w:t>
      </w:r>
      <w:r>
        <w:rPr>
          <w:sz w:val="20"/>
          <w:szCs w:val="20"/>
        </w:rPr>
        <w:t xml:space="preserve">Incorrect — diuretics are not the standard intraoperative approach.</w:t>
      </w:r>
    </w:p>
    <w:p>
      <w:pPr>
        <w:spacing w:after="40"/>
        <w:ind w:left="360"/>
      </w:pPr>
      <w:r>
        <w:rPr>
          <w:b/>
          <w:bCs/>
          <w:sz w:val="20"/>
          <w:szCs w:val="20"/>
        </w:rPr>
        <w:t xml:space="preserve">E) </w:t>
      </w:r>
      <w:r>
        <w:rPr>
          <w:sz w:val="20"/>
          <w:szCs w:val="20"/>
        </w:rPr>
        <w:t xml:space="preserve">Incorrect — third-spacing is still recognized, even as management has shifted toward restrictive strategies.</w:t>
      </w:r>
    </w:p>
    <w:p>
      <w:pPr>
        <w:spacing w:after="200"/>
      </w:pPr>
      <w:r>
        <w:rPr>
          <w:i/>
          <w:iCs/>
          <w:color w:val="595959"/>
          <w:sz w:val="16"/>
          <w:szCs w:val="16"/>
        </w:rPr>
        <w:t xml:space="preserve">Source: StatPearls — Fluid Management — https://www.ncbi.nlm.nih.gov/books/NBK532305/</w:t>
      </w:r>
    </w:p>
    <w:p>
      <w:pPr>
        <w:spacing w:after="120" w:before="300"/>
      </w:pPr>
      <w:r>
        <w:rPr>
          <w:b/>
          <w:bCs/>
          <w:sz w:val="24"/>
          <w:szCs w:val="24"/>
        </w:rPr>
        <w:t xml:space="preserve">16. </w:t>
      </w:r>
      <w:r>
        <w:rPr>
          <w:sz w:val="24"/>
          <w:szCs w:val="24"/>
        </w:rPr>
        <w:t xml:space="preserve">An 80-year-old woman underwent a 5-hour hip fracture operation and experienced intraoperative hypotension and low core temperature. Postoperatively, she has reduced mobility and cannot reposition herself in bed. The nursing team uses a validated risk assessment tool to guide pressure ulcer prevention measures.</w:t>
      </w:r>
    </w:p>
    <w:p>
      <w:pPr>
        <w:spacing w:after="120"/>
      </w:pPr>
      <w:r>
        <w:rPr>
          <w:i/>
          <w:iCs/>
          <w:sz w:val="24"/>
          <w:szCs w:val="24"/>
        </w:rPr>
        <w:t xml:space="preserve">Which validated tool is most appropriate for assessing her pressure ulcer risk, and what is a key preventive measure?</w:t>
      </w:r>
    </w:p>
    <w:p>
      <w:pPr>
        <w:spacing w:after="60"/>
        <w:ind w:left="360"/>
      </w:pPr>
      <w:r>
        <w:rPr>
          <w:b/>
          <w:bCs/>
          <w:sz w:val="22"/>
          <w:szCs w:val="22"/>
        </w:rPr>
        <w:t xml:space="preserve">A) </w:t>
      </w:r>
      <w:r>
        <w:rPr>
          <w:sz w:val="22"/>
          <w:szCs w:val="22"/>
        </w:rPr>
        <w:t xml:space="preserve">Braden Scale; use of a pressure-redistributing mattress and regular repositioning</w:t>
      </w:r>
    </w:p>
    <w:p>
      <w:pPr>
        <w:spacing w:after="60"/>
        <w:ind w:left="360"/>
      </w:pPr>
      <w:r>
        <w:rPr>
          <w:b/>
          <w:bCs/>
          <w:sz w:val="22"/>
          <w:szCs w:val="22"/>
        </w:rPr>
        <w:t xml:space="preserve">B) </w:t>
      </w:r>
      <w:r>
        <w:rPr>
          <w:sz w:val="22"/>
          <w:szCs w:val="22"/>
        </w:rPr>
        <w:t xml:space="preserve">Glasgow Coma Scale; strict bed rest until fully healed</w:t>
      </w:r>
    </w:p>
    <w:p>
      <w:pPr>
        <w:spacing w:after="60"/>
        <w:ind w:left="360"/>
      </w:pPr>
      <w:r>
        <w:rPr>
          <w:b/>
          <w:bCs/>
          <w:sz w:val="22"/>
          <w:szCs w:val="22"/>
        </w:rPr>
        <w:t xml:space="preserve">C) </w:t>
      </w:r>
      <w:r>
        <w:rPr>
          <w:sz w:val="22"/>
          <w:szCs w:val="22"/>
        </w:rPr>
        <w:t xml:space="preserve">LRINEC score; early antibiotic prophylaxis</w:t>
      </w:r>
    </w:p>
    <w:p>
      <w:pPr>
        <w:spacing w:after="60"/>
        <w:ind w:left="360"/>
      </w:pPr>
      <w:r>
        <w:rPr>
          <w:b/>
          <w:bCs/>
          <w:sz w:val="22"/>
          <w:szCs w:val="22"/>
        </w:rPr>
        <w:t xml:space="preserve">D) </w:t>
      </w:r>
      <w:r>
        <w:rPr>
          <w:sz w:val="22"/>
          <w:szCs w:val="22"/>
        </w:rPr>
        <w:t xml:space="preserve">qSOFA score; fluid resuscitation</w:t>
      </w:r>
    </w:p>
    <w:p>
      <w:pPr>
        <w:spacing w:after="60"/>
        <w:ind w:left="360"/>
      </w:pPr>
      <w:r>
        <w:rPr>
          <w:b/>
          <w:bCs/>
          <w:sz w:val="22"/>
          <w:szCs w:val="22"/>
        </w:rPr>
        <w:t xml:space="preserve">E) </w:t>
      </w:r>
      <w:r>
        <w:rPr>
          <w:sz w:val="22"/>
          <w:szCs w:val="22"/>
        </w:rPr>
        <w:t xml:space="preserve">Well's score; therapeutic anticoagulation</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the Braden Scale is the standard validated pressure ulcer risk tool; prevention includes pressure-redistributing mattresses and regular repositioning.</w:t>
      </w:r>
    </w:p>
    <w:p>
      <w:pPr>
        <w:spacing w:after="40"/>
        <w:ind w:left="360"/>
      </w:pPr>
      <w:r>
        <w:rPr>
          <w:b/>
          <w:bCs/>
          <w:sz w:val="20"/>
          <w:szCs w:val="20"/>
        </w:rPr>
        <w:t xml:space="preserve">B) </w:t>
      </w:r>
      <w:r>
        <w:rPr>
          <w:sz w:val="20"/>
          <w:szCs w:val="20"/>
        </w:rPr>
        <w:t xml:space="preserve">Incorrect — GCS assesses consciousness; strict bed rest increases pressure ulcer risk.</w:t>
      </w:r>
    </w:p>
    <w:p>
      <w:pPr>
        <w:spacing w:after="40"/>
        <w:ind w:left="360"/>
      </w:pPr>
      <w:r>
        <w:rPr>
          <w:b/>
          <w:bCs/>
          <w:sz w:val="20"/>
          <w:szCs w:val="20"/>
        </w:rPr>
        <w:t xml:space="preserve">C) </w:t>
      </w:r>
      <w:r>
        <w:rPr>
          <w:sz w:val="20"/>
          <w:szCs w:val="20"/>
        </w:rPr>
        <w:t xml:space="preserve">Incorrect — LRINEC assesses necrotizing fasciitis risk.</w:t>
      </w:r>
    </w:p>
    <w:p>
      <w:pPr>
        <w:spacing w:after="40"/>
        <w:ind w:left="360"/>
      </w:pPr>
      <w:r>
        <w:rPr>
          <w:b/>
          <w:bCs/>
          <w:sz w:val="20"/>
          <w:szCs w:val="20"/>
        </w:rPr>
        <w:t xml:space="preserve">D) </w:t>
      </w:r>
      <w:r>
        <w:rPr>
          <w:sz w:val="20"/>
          <w:szCs w:val="20"/>
        </w:rPr>
        <w:t xml:space="preserve">Incorrect — qSOFA assesses sepsis risk.</w:t>
      </w:r>
    </w:p>
    <w:p>
      <w:pPr>
        <w:spacing w:after="40"/>
        <w:ind w:left="360"/>
      </w:pPr>
      <w:r>
        <w:rPr>
          <w:b/>
          <w:bCs/>
          <w:sz w:val="20"/>
          <w:szCs w:val="20"/>
        </w:rPr>
        <w:t xml:space="preserve">E) </w:t>
      </w:r>
      <w:r>
        <w:rPr>
          <w:sz w:val="20"/>
          <w:szCs w:val="20"/>
        </w:rPr>
        <w:t xml:space="preserve">Incorrect — Well's score assesses DVT/PE probability.</w:t>
      </w:r>
    </w:p>
    <w:p>
      <w:pPr>
        <w:spacing w:after="200"/>
      </w:pPr>
      <w:r>
        <w:rPr>
          <w:i/>
          <w:iCs/>
          <w:color w:val="595959"/>
          <w:sz w:val="16"/>
          <w:szCs w:val="16"/>
        </w:rPr>
        <w:t xml:space="preserve">Source: NPUAP/EPUAP/PPPIA Pressure Ulcer Prevention &amp; Treatment Guideline — https://www.andeal.org/files/files/WoundCare/NPUAP-EPUAP-PPPIA%20CPG%202014.pdf</w:t>
      </w:r>
    </w:p>
    <w:p>
      <w:pPr>
        <w:spacing w:after="120" w:before="300"/>
      </w:pPr>
      <w:r>
        <w:rPr>
          <w:b/>
          <w:bCs/>
          <w:sz w:val="24"/>
          <w:szCs w:val="24"/>
        </w:rPr>
        <w:t xml:space="preserve">17. </w:t>
      </w:r>
      <w:r>
        <w:rPr>
          <w:sz w:val="24"/>
          <w:szCs w:val="24"/>
        </w:rPr>
        <w:t xml:space="preserve">A 58-year-old woman underwent an elective laparoscopic colorectal resection yesterday. As part of her enhanced recovery pathway, the nursing team encourages her to sit out of bed and walk to the bathroom on postoperative day 1, rather than remaining on strict bed rest.</w:t>
      </w:r>
    </w:p>
    <w:p>
      <w:pPr>
        <w:spacing w:after="120"/>
      </w:pPr>
      <w:r>
        <w:rPr>
          <w:i/>
          <w:iCs/>
          <w:sz w:val="24"/>
          <w:szCs w:val="24"/>
        </w:rPr>
        <w:t xml:space="preserve">What is the primary evidence-based benefit of this early mobilization strategy?</w:t>
      </w:r>
    </w:p>
    <w:p>
      <w:pPr>
        <w:spacing w:after="60"/>
        <w:ind w:left="360"/>
      </w:pPr>
      <w:r>
        <w:rPr>
          <w:b/>
          <w:bCs/>
          <w:sz w:val="22"/>
          <w:szCs w:val="22"/>
        </w:rPr>
        <w:t xml:space="preserve">A) </w:t>
      </w:r>
      <w:r>
        <w:rPr>
          <w:sz w:val="22"/>
          <w:szCs w:val="22"/>
        </w:rPr>
        <w:t xml:space="preserve">Guarantees complete prevention of all postoperative complications</w:t>
      </w:r>
    </w:p>
    <w:p>
      <w:pPr>
        <w:spacing w:after="60"/>
        <w:ind w:left="360"/>
      </w:pPr>
      <w:r>
        <w:rPr>
          <w:b/>
          <w:bCs/>
          <w:sz w:val="22"/>
          <w:szCs w:val="22"/>
        </w:rPr>
        <w:t xml:space="preserve">B) </w:t>
      </w:r>
      <w:r>
        <w:rPr>
          <w:sz w:val="22"/>
          <w:szCs w:val="22"/>
        </w:rPr>
        <w:t xml:space="preserve">It eliminates the need for any postoperative analgesia</w:t>
      </w:r>
    </w:p>
    <w:p>
      <w:pPr>
        <w:spacing w:after="60"/>
        <w:ind w:left="360"/>
      </w:pPr>
      <w:r>
        <w:rPr>
          <w:b/>
          <w:bCs/>
          <w:sz w:val="22"/>
          <w:szCs w:val="22"/>
        </w:rPr>
        <w:t xml:space="preserve">C) </w:t>
      </w:r>
      <w:r>
        <w:rPr>
          <w:sz w:val="22"/>
          <w:szCs w:val="22"/>
        </w:rPr>
        <w:t xml:space="preserve">It replaces the need for pharmacological thromboprophylaxis entirely</w:t>
      </w:r>
    </w:p>
    <w:p>
      <w:pPr>
        <w:spacing w:after="60"/>
        <w:ind w:left="360"/>
      </w:pPr>
      <w:r>
        <w:rPr>
          <w:b/>
          <w:bCs/>
          <w:sz w:val="22"/>
          <w:szCs w:val="22"/>
        </w:rPr>
        <w:t xml:space="preserve">D) </w:t>
      </w:r>
      <w:r>
        <w:rPr>
          <w:sz w:val="22"/>
          <w:szCs w:val="22"/>
        </w:rPr>
        <w:t xml:space="preserve">Reduced risk of venous thromboembolism, pulmonary complications, and shorter hospital stay</w:t>
      </w:r>
    </w:p>
    <w:p>
      <w:pPr>
        <w:spacing w:after="60"/>
        <w:ind w:left="360"/>
      </w:pPr>
      <w:r>
        <w:rPr>
          <w:b/>
          <w:bCs/>
          <w:sz w:val="22"/>
          <w:szCs w:val="22"/>
        </w:rPr>
        <w:t xml:space="preserve">E) </w:t>
      </w:r>
      <w:r>
        <w:rPr>
          <w:sz w:val="22"/>
          <w:szCs w:val="22"/>
        </w:rPr>
        <w:t xml:space="preserve">Reduces the need for postoperative nutritional support</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intervention guarantees complete prevention.</w:t>
      </w:r>
    </w:p>
    <w:p>
      <w:pPr>
        <w:spacing w:after="40"/>
        <w:ind w:left="360"/>
      </w:pPr>
      <w:r>
        <w:rPr>
          <w:b/>
          <w:bCs/>
          <w:sz w:val="20"/>
          <w:szCs w:val="20"/>
        </w:rPr>
        <w:t xml:space="preserve">B) </w:t>
      </w:r>
      <w:r>
        <w:rPr>
          <w:sz w:val="20"/>
          <w:szCs w:val="20"/>
        </w:rPr>
        <w:t xml:space="preserve">Incorrect — mobilization doesn't eliminate the need for analgesia; good analgesia actually facilitates mobilization.</w:t>
      </w:r>
    </w:p>
    <w:p>
      <w:pPr>
        <w:spacing w:after="40"/>
        <w:ind w:left="360"/>
      </w:pPr>
      <w:r>
        <w:rPr>
          <w:b/>
          <w:bCs/>
          <w:sz w:val="20"/>
          <w:szCs w:val="20"/>
        </w:rPr>
        <w:t xml:space="preserve">C) </w:t>
      </w:r>
      <w:r>
        <w:rPr>
          <w:sz w:val="20"/>
          <w:szCs w:val="20"/>
        </w:rPr>
        <w:t xml:space="preserve">Incorrect — complements but does not replace pharmacological thromboprophylaxis in at-risk patients.</w:t>
      </w:r>
    </w:p>
    <w:p>
      <w:pPr>
        <w:spacing w:after="40"/>
        <w:ind w:left="360"/>
      </w:pPr>
      <w:r>
        <w:rPr>
          <w:b/>
          <w:bCs/>
          <w:sz w:val="20"/>
          <w:szCs w:val="20"/>
        </w:rPr>
        <w:t xml:space="preserve">D) </w:t>
      </w:r>
      <w:r>
        <w:rPr>
          <w:sz w:val="20"/>
          <w:szCs w:val="20"/>
        </w:rPr>
        <w:t xml:space="preserve">Correct — promotes venous return (reducing VTE), improves lung volumes (reducing pulmonary complications), and shortens hospital stay.</w:t>
      </w:r>
    </w:p>
    <w:p>
      <w:pPr>
        <w:spacing w:after="40"/>
        <w:ind w:left="360"/>
      </w:pPr>
      <w:r>
        <w:rPr>
          <w:b/>
          <w:bCs/>
          <w:sz w:val="20"/>
          <w:szCs w:val="20"/>
        </w:rPr>
        <w:t xml:space="preserve">E) </w:t>
      </w:r>
      <w:r>
        <w:rPr>
          <w:sz w:val="20"/>
          <w:szCs w:val="20"/>
        </w:rPr>
        <w:t xml:space="preserve">Incorrect — mobilization and nutrition are complementary, not substitutive.</w:t>
      </w:r>
    </w:p>
    <w:p>
      <w:pPr>
        <w:spacing w:after="200"/>
      </w:pPr>
      <w:r>
        <w:rPr>
          <w:i/>
          <w:iCs/>
          <w:color w:val="595959"/>
          <w:sz w:val="16"/>
          <w:szCs w:val="16"/>
        </w:rPr>
        <w:t xml:space="preserve">Source: Importance of Early Postoperative Mobilization — BJS Open — https://academic.oup.com/bjsopen/article/10/2/zrag016/8539232</w:t>
      </w:r>
    </w:p>
    <w:p>
      <w:pPr>
        <w:spacing w:after="120" w:before="300"/>
      </w:pPr>
      <w:r>
        <w:rPr>
          <w:b/>
          <w:bCs/>
          <w:sz w:val="24"/>
          <w:szCs w:val="24"/>
        </w:rPr>
        <w:t xml:space="preserve">18. </w:t>
      </w:r>
      <w:r>
        <w:rPr>
          <w:sz w:val="24"/>
          <w:szCs w:val="24"/>
        </w:rPr>
        <w:t xml:space="preserve">On postoperative day 3 after an elective hepatobiliary resection, a surgical drain has recorded serosanguinous output of 35 mL over the past 24 hours. There is no bile, blood, or evidence of infection in the fluid, and the patient is otherwise recovering well.</w:t>
      </w:r>
    </w:p>
    <w:p>
      <w:pPr>
        <w:spacing w:after="120"/>
      </w:pPr>
      <w:r>
        <w:rPr>
          <w:i/>
          <w:iCs/>
          <w:sz w:val="24"/>
          <w:szCs w:val="24"/>
        </w:rPr>
        <w:t xml:space="preserve">Based on current evidence-based criteria, what is the most appropriate action regarding the drain?</w:t>
      </w:r>
    </w:p>
    <w:p>
      <w:pPr>
        <w:spacing w:after="60"/>
        <w:ind w:left="360"/>
      </w:pPr>
      <w:r>
        <w:rPr>
          <w:b/>
          <w:bCs/>
          <w:sz w:val="22"/>
          <w:szCs w:val="22"/>
        </w:rPr>
        <w:t xml:space="preserve">A) </w:t>
      </w:r>
      <w:r>
        <w:rPr>
          <w:sz w:val="22"/>
          <w:szCs w:val="22"/>
        </w:rPr>
        <w:t xml:space="preserve">Clamp the drain intermittently for another 48 hours before deciding</w:t>
      </w:r>
    </w:p>
    <w:p>
      <w:pPr>
        <w:spacing w:after="60"/>
        <w:ind w:left="360"/>
      </w:pPr>
      <w:r>
        <w:rPr>
          <w:b/>
          <w:bCs/>
          <w:sz w:val="22"/>
          <w:szCs w:val="22"/>
        </w:rPr>
        <w:t xml:space="preserve">B) </w:t>
      </w:r>
      <w:r>
        <w:rPr>
          <w:sz w:val="22"/>
          <w:szCs w:val="22"/>
        </w:rPr>
        <w:t xml:space="preserve">Convert to a larger-bore drain to monitor output more accurately</w:t>
      </w:r>
    </w:p>
    <w:p>
      <w:pPr>
        <w:spacing w:after="60"/>
        <w:ind w:left="360"/>
      </w:pPr>
      <w:r>
        <w:rPr>
          <w:b/>
          <w:bCs/>
          <w:sz w:val="22"/>
          <w:szCs w:val="22"/>
        </w:rPr>
        <w:t xml:space="preserve">C) </w:t>
      </w:r>
      <w:r>
        <w:rPr>
          <w:sz w:val="22"/>
          <w:szCs w:val="22"/>
        </w:rPr>
        <w:t xml:space="preserve">Leave the drain in place until postoperative day 10 regardless of output</w:t>
      </w:r>
    </w:p>
    <w:p>
      <w:pPr>
        <w:spacing w:after="60"/>
        <w:ind w:left="360"/>
      </w:pPr>
      <w:r>
        <w:rPr>
          <w:b/>
          <w:bCs/>
          <w:sz w:val="22"/>
          <w:szCs w:val="22"/>
        </w:rPr>
        <w:t xml:space="preserve">D) </w:t>
      </w:r>
      <w:r>
        <w:rPr>
          <w:sz w:val="22"/>
          <w:szCs w:val="22"/>
        </w:rPr>
        <w:t xml:space="preserve">Remove the drain, as output is within the accepted low-volume threshold with no concerning features</w:t>
      </w:r>
    </w:p>
    <w:p>
      <w:pPr>
        <w:spacing w:after="60"/>
        <w:ind w:left="360"/>
      </w:pPr>
      <w:r>
        <w:rPr>
          <w:b/>
          <w:bCs/>
          <w:sz w:val="22"/>
          <w:szCs w:val="22"/>
        </w:rPr>
        <w:t xml:space="preserve">E) </w:t>
      </w:r>
      <w:r>
        <w:rPr>
          <w:sz w:val="22"/>
          <w:szCs w:val="22"/>
        </w:rPr>
        <w:t xml:space="preserve">Send the drain fluid for culture before making any decision</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clamping is not part of standard removal criteria.</w:t>
      </w:r>
    </w:p>
    <w:p>
      <w:pPr>
        <w:spacing w:after="40"/>
        <w:ind w:left="360"/>
      </w:pPr>
      <w:r>
        <w:rPr>
          <w:b/>
          <w:bCs/>
          <w:sz w:val="20"/>
          <w:szCs w:val="20"/>
        </w:rPr>
        <w:t xml:space="preserve">B) </w:t>
      </w:r>
      <w:r>
        <w:rPr>
          <w:sz w:val="20"/>
          <w:szCs w:val="20"/>
        </w:rPr>
        <w:t xml:space="preserve">Incorrect — unnecessary when output is already low and unremarkable.</w:t>
      </w:r>
    </w:p>
    <w:p>
      <w:pPr>
        <w:spacing w:after="40"/>
        <w:ind w:left="360"/>
      </w:pPr>
      <w:r>
        <w:rPr>
          <w:b/>
          <w:bCs/>
          <w:sz w:val="20"/>
          <w:szCs w:val="20"/>
        </w:rPr>
        <w:t xml:space="preserve">C) </w:t>
      </w:r>
      <w:r>
        <w:rPr>
          <w:sz w:val="20"/>
          <w:szCs w:val="20"/>
        </w:rPr>
        <w:t xml:space="preserve">Incorrect — a fixed postoperative day is a poor indicator; output-based criteria are preferred.</w:t>
      </w:r>
    </w:p>
    <w:p>
      <w:pPr>
        <w:spacing w:after="40"/>
        <w:ind w:left="360"/>
      </w:pPr>
      <w:r>
        <w:rPr>
          <w:b/>
          <w:bCs/>
          <w:sz w:val="20"/>
          <w:szCs w:val="20"/>
        </w:rPr>
        <w:t xml:space="preserve">D) </w:t>
      </w:r>
      <w:r>
        <w:rPr>
          <w:sz w:val="20"/>
          <w:szCs w:val="20"/>
        </w:rPr>
        <w:t xml:space="preserve">Correct — drains are generally removed when 24-hour output is below approximately 30–50 mL/day (procedure-dependent) without bile, blood, or infection signs.</w:t>
      </w:r>
    </w:p>
    <w:p>
      <w:pPr>
        <w:spacing w:after="40"/>
        <w:ind w:left="360"/>
      </w:pPr>
      <w:r>
        <w:rPr>
          <w:b/>
          <w:bCs/>
          <w:sz w:val="20"/>
          <w:szCs w:val="20"/>
        </w:rPr>
        <w:t xml:space="preserve">E) </w:t>
      </w:r>
      <w:r>
        <w:rPr>
          <w:sz w:val="20"/>
          <w:szCs w:val="20"/>
        </w:rPr>
        <w:t xml:space="preserve">Incorrect — routine culture of unremarkable fluid is not required.</w:t>
      </w:r>
    </w:p>
    <w:p>
      <w:pPr>
        <w:spacing w:after="200"/>
      </w:pPr>
      <w:r>
        <w:rPr>
          <w:i/>
          <w:iCs/>
          <w:color w:val="595959"/>
          <w:sz w:val="16"/>
          <w:szCs w:val="16"/>
        </w:rPr>
        <w:t xml:space="preserve">Source: Optimizing Surgical Drain Removal — Cureus/PMC Review — https://pmc.ncbi.nlm.nih.gov/articles/PMC12612791/</w:t>
      </w:r>
    </w:p>
    <w:p>
      <w:pPr>
        <w:spacing w:after="120" w:before="300"/>
      </w:pPr>
      <w:r>
        <w:rPr>
          <w:b/>
          <w:bCs/>
          <w:sz w:val="24"/>
          <w:szCs w:val="24"/>
        </w:rPr>
        <w:t xml:space="preserve">19. </w:t>
      </w:r>
      <w:r>
        <w:rPr>
          <w:sz w:val="24"/>
          <w:szCs w:val="24"/>
        </w:rPr>
        <w:t xml:space="preserve">A 45-year-old woman had an uncomplicated open abdominal surgery two days ago. Her wound dressing has remained dry and intact since the operation, with no signs of excess exudate, strikethrough, or inflammation. The nursing team plans the timing of the first dressing change according to current evidence.</w:t>
      </w:r>
    </w:p>
    <w:p>
      <w:pPr>
        <w:spacing w:after="120"/>
      </w:pPr>
      <w:r>
        <w:rPr>
          <w:i/>
          <w:iCs/>
          <w:sz w:val="24"/>
          <w:szCs w:val="24"/>
        </w:rPr>
        <w:t xml:space="preserve">According to current evidence, what is the most appropriate timing for this first dressing change?</w:t>
      </w:r>
    </w:p>
    <w:p>
      <w:pPr>
        <w:spacing w:after="60"/>
        <w:ind w:left="360"/>
      </w:pPr>
      <w:r>
        <w:rPr>
          <w:b/>
          <w:bCs/>
          <w:sz w:val="22"/>
          <w:szCs w:val="22"/>
        </w:rPr>
        <w:t xml:space="preserve">A) </w:t>
      </w:r>
      <w:r>
        <w:rPr>
          <w:sz w:val="22"/>
          <w:szCs w:val="22"/>
        </w:rPr>
        <w:t xml:space="preserve">At 24 hours, as earlier is always better</w:t>
      </w:r>
    </w:p>
    <w:p>
      <w:pPr>
        <w:spacing w:after="60"/>
        <w:ind w:left="360"/>
      </w:pPr>
      <w:r>
        <w:rPr>
          <w:b/>
          <w:bCs/>
          <w:sz w:val="22"/>
          <w:szCs w:val="22"/>
        </w:rPr>
        <w:t xml:space="preserve">B) </w:t>
      </w:r>
      <w:r>
        <w:rPr>
          <w:sz w:val="22"/>
          <w:szCs w:val="22"/>
        </w:rPr>
        <w:t xml:space="preserve">At 48 hours, since this minimizes wound infection risk compared with earlier or later changes</w:t>
      </w:r>
    </w:p>
    <w:p>
      <w:pPr>
        <w:spacing w:after="60"/>
        <w:ind w:left="360"/>
      </w:pPr>
      <w:r>
        <w:rPr>
          <w:b/>
          <w:bCs/>
          <w:sz w:val="22"/>
          <w:szCs w:val="22"/>
        </w:rPr>
        <w:t xml:space="preserve">C) </w:t>
      </w:r>
      <w:r>
        <w:rPr>
          <w:sz w:val="22"/>
          <w:szCs w:val="22"/>
        </w:rPr>
        <w:t xml:space="preserve">At 7 days, regardless of wound appearance</w:t>
      </w:r>
    </w:p>
    <w:p>
      <w:pPr>
        <w:spacing w:after="60"/>
        <w:ind w:left="360"/>
      </w:pPr>
      <w:r>
        <w:rPr>
          <w:b/>
          <w:bCs/>
          <w:sz w:val="22"/>
          <w:szCs w:val="22"/>
        </w:rPr>
        <w:t xml:space="preserve">D) </w:t>
      </w:r>
      <w:r>
        <w:rPr>
          <w:sz w:val="22"/>
          <w:szCs w:val="22"/>
        </w:rPr>
        <w:t xml:space="preserve">Immediately, on the day of surgery</w:t>
      </w:r>
    </w:p>
    <w:p>
      <w:pPr>
        <w:spacing w:after="60"/>
        <w:ind w:left="360"/>
      </w:pPr>
      <w:r>
        <w:rPr>
          <w:b/>
          <w:bCs/>
          <w:sz w:val="22"/>
          <w:szCs w:val="22"/>
        </w:rPr>
        <w:t xml:space="preserve">E) </w:t>
      </w:r>
      <w:r>
        <w:rPr>
          <w:sz w:val="22"/>
          <w:szCs w:val="22"/>
        </w:rPr>
        <w:t xml:space="preserve">Only when the patient is discharged, however many days that takes</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advantage shown for changes earlier than 48 hours.</w:t>
      </w:r>
    </w:p>
    <w:p>
      <w:pPr>
        <w:spacing w:after="40"/>
        <w:ind w:left="360"/>
      </w:pPr>
      <w:r>
        <w:rPr>
          <w:b/>
          <w:bCs/>
          <w:sz w:val="20"/>
          <w:szCs w:val="20"/>
        </w:rPr>
        <w:t xml:space="preserve">B) </w:t>
      </w:r>
      <w:r>
        <w:rPr>
          <w:sz w:val="20"/>
          <w:szCs w:val="20"/>
        </w:rPr>
        <w:t xml:space="preserve">Correct — network meta-analysis evidence shows 48 hours minimizes infection risk versus both earlier and later (&gt;4.5 days) changes.</w:t>
      </w:r>
    </w:p>
    <w:p>
      <w:pPr>
        <w:spacing w:after="40"/>
        <w:ind w:left="360"/>
      </w:pPr>
      <w:r>
        <w:rPr>
          <w:b/>
          <w:bCs/>
          <w:sz w:val="20"/>
          <w:szCs w:val="20"/>
        </w:rPr>
        <w:t xml:space="preserve">C) </w:t>
      </w:r>
      <w:r>
        <w:rPr>
          <w:sz w:val="20"/>
          <w:szCs w:val="20"/>
        </w:rPr>
        <w:t xml:space="preserve">Incorrect — beyond about 4.5 days significantly increases infection risk.</w:t>
      </w:r>
    </w:p>
    <w:p>
      <w:pPr>
        <w:spacing w:after="40"/>
        <w:ind w:left="360"/>
      </w:pPr>
      <w:r>
        <w:rPr>
          <w:b/>
          <w:bCs/>
          <w:sz w:val="20"/>
          <w:szCs w:val="20"/>
        </w:rPr>
        <w:t xml:space="preserve">D) </w:t>
      </w:r>
      <w:r>
        <w:rPr>
          <w:sz w:val="20"/>
          <w:szCs w:val="20"/>
        </w:rPr>
        <w:t xml:space="preserve">Incorrect — same-day removal removes the protective barrier too early.</w:t>
      </w:r>
    </w:p>
    <w:p>
      <w:pPr>
        <w:spacing w:after="40"/>
        <w:ind w:left="360"/>
      </w:pPr>
      <w:r>
        <w:rPr>
          <w:b/>
          <w:bCs/>
          <w:sz w:val="20"/>
          <w:szCs w:val="20"/>
        </w:rPr>
        <w:t xml:space="preserve">E) </w:t>
      </w:r>
      <w:r>
        <w:rPr>
          <w:sz w:val="20"/>
          <w:szCs w:val="20"/>
        </w:rPr>
        <w:t xml:space="preserve">Incorrect — arbitrary delay risks leaving the dressing too long.</w:t>
      </w:r>
    </w:p>
    <w:p>
      <w:pPr>
        <w:spacing w:after="200"/>
      </w:pPr>
      <w:r>
        <w:rPr>
          <w:i/>
          <w:iCs/>
          <w:color w:val="595959"/>
          <w:sz w:val="16"/>
          <w:szCs w:val="16"/>
        </w:rPr>
        <w:t xml:space="preserve">Source: Network Meta-Analysis of Timing of Wound Dressing Removal — PMC — https://www.ncbi.nlm.nih.gov/pmc/articles/PMC11960711/</w:t>
      </w:r>
    </w:p>
    <w:p>
      <w:pPr>
        <w:spacing w:after="120" w:before="300"/>
      </w:pPr>
      <w:r>
        <w:rPr>
          <w:b/>
          <w:bCs/>
          <w:sz w:val="24"/>
          <w:szCs w:val="24"/>
        </w:rPr>
        <w:t xml:space="preserve">20. </w:t>
      </w:r>
      <w:r>
        <w:rPr>
          <w:sz w:val="24"/>
          <w:szCs w:val="24"/>
        </w:rPr>
        <w:t xml:space="preserve">A 60-year-old man is on regular opioid analgesia for pain control after major open abdominal surgery. His surgical team wants to prevent opioid-induced constipation and prescribes a stepwise bowel regimen alongside his analgesia, avoiding agents that could worsen bowel obstruction risk in the early postoperative period.</w:t>
      </w:r>
    </w:p>
    <w:p>
      <w:pPr>
        <w:spacing w:after="120"/>
      </w:pPr>
      <w:r>
        <w:rPr>
          <w:i/>
          <w:iCs/>
          <w:sz w:val="24"/>
          <w:szCs w:val="24"/>
        </w:rPr>
        <w:t xml:space="preserve">Which laxative agent should be avoided in this early postoperative setting despite being effective for chronic constipation?</w:t>
      </w:r>
    </w:p>
    <w:p>
      <w:pPr>
        <w:spacing w:after="60"/>
        <w:ind w:left="360"/>
      </w:pPr>
      <w:r>
        <w:rPr>
          <w:b/>
          <w:bCs/>
          <w:sz w:val="22"/>
          <w:szCs w:val="22"/>
        </w:rPr>
        <w:t xml:space="preserve">A) </w:t>
      </w:r>
      <w:r>
        <w:rPr>
          <w:sz w:val="22"/>
          <w:szCs w:val="22"/>
        </w:rPr>
        <w:t xml:space="preserve">Bisacodyl</w:t>
      </w:r>
    </w:p>
    <w:p>
      <w:pPr>
        <w:spacing w:after="60"/>
        <w:ind w:left="360"/>
      </w:pPr>
      <w:r>
        <w:rPr>
          <w:b/>
          <w:bCs/>
          <w:sz w:val="22"/>
          <w:szCs w:val="22"/>
        </w:rPr>
        <w:t xml:space="preserve">B) </w:t>
      </w:r>
      <w:r>
        <w:rPr>
          <w:sz w:val="22"/>
          <w:szCs w:val="22"/>
        </w:rPr>
        <w:t xml:space="preserve">Docusate sodium</w:t>
      </w:r>
    </w:p>
    <w:p>
      <w:pPr>
        <w:spacing w:after="60"/>
        <w:ind w:left="360"/>
      </w:pPr>
      <w:r>
        <w:rPr>
          <w:b/>
          <w:bCs/>
          <w:sz w:val="22"/>
          <w:szCs w:val="22"/>
        </w:rPr>
        <w:t xml:space="preserve">C) </w:t>
      </w:r>
      <w:r>
        <w:rPr>
          <w:sz w:val="22"/>
          <w:szCs w:val="22"/>
        </w:rPr>
        <w:t xml:space="preserve">Polyethylene glycol</w:t>
      </w:r>
    </w:p>
    <w:p>
      <w:pPr>
        <w:spacing w:after="60"/>
        <w:ind w:left="360"/>
      </w:pPr>
      <w:r>
        <w:rPr>
          <w:b/>
          <w:bCs/>
          <w:sz w:val="22"/>
          <w:szCs w:val="22"/>
        </w:rPr>
        <w:t xml:space="preserve">D) </w:t>
      </w:r>
      <w:r>
        <w:rPr>
          <w:sz w:val="22"/>
          <w:szCs w:val="22"/>
        </w:rPr>
        <w:t xml:space="preserve">Psyllium (bulk-forming laxative)</w:t>
      </w:r>
    </w:p>
    <w:p>
      <w:pPr>
        <w:spacing w:after="60"/>
        <w:ind w:left="360"/>
      </w:pPr>
      <w:r>
        <w:rPr>
          <w:b/>
          <w:bCs/>
          <w:sz w:val="22"/>
          <w:szCs w:val="22"/>
        </w:rPr>
        <w:t xml:space="preserve">E) </w:t>
      </w:r>
      <w:r>
        <w:rPr>
          <w:sz w:val="22"/>
          <w:szCs w:val="22"/>
        </w:rPr>
        <w:t xml:space="preserve">Senna</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 standard, appropriate first-line stimulant agent.</w:t>
      </w:r>
    </w:p>
    <w:p>
      <w:pPr>
        <w:spacing w:after="40"/>
        <w:ind w:left="360"/>
      </w:pPr>
      <w:r>
        <w:rPr>
          <w:b/>
          <w:bCs/>
          <w:sz w:val="20"/>
          <w:szCs w:val="20"/>
        </w:rPr>
        <w:t xml:space="preserve">B) </w:t>
      </w:r>
      <w:r>
        <w:rPr>
          <w:sz w:val="20"/>
          <w:szCs w:val="20"/>
        </w:rPr>
        <w:t xml:space="preserve">Incorrect — a stool softener commonly and appropriately combined with a stimulant.</w:t>
      </w:r>
    </w:p>
    <w:p>
      <w:pPr>
        <w:spacing w:after="40"/>
        <w:ind w:left="360"/>
      </w:pPr>
      <w:r>
        <w:rPr>
          <w:b/>
          <w:bCs/>
          <w:sz w:val="20"/>
          <w:szCs w:val="20"/>
        </w:rPr>
        <w:t xml:space="preserve">C) </w:t>
      </w:r>
      <w:r>
        <w:rPr>
          <w:sz w:val="20"/>
          <w:szCs w:val="20"/>
        </w:rPr>
        <w:t xml:space="preserve">Incorrect — an appropriate first-line osmotic agent.</w:t>
      </w:r>
    </w:p>
    <w:p>
      <w:pPr>
        <w:spacing w:after="40"/>
        <w:ind w:left="360"/>
      </w:pPr>
      <w:r>
        <w:rPr>
          <w:b/>
          <w:bCs/>
          <w:sz w:val="20"/>
          <w:szCs w:val="20"/>
        </w:rPr>
        <w:t xml:space="preserve">D) </w:t>
      </w:r>
      <w:r>
        <w:rPr>
          <w:sz w:val="20"/>
          <w:szCs w:val="20"/>
        </w:rPr>
        <w:t xml:space="preserve">Correct — bulk-forming laxatives like psyllium should be avoided with opioids, since impaired peristalsis prevents the added bulk from moving through the bowel, worsening pain and risking obstruction, especially soon after bowel surgery.</w:t>
      </w:r>
    </w:p>
    <w:p>
      <w:pPr>
        <w:spacing w:after="40"/>
        <w:ind w:left="360"/>
      </w:pPr>
      <w:r>
        <w:rPr>
          <w:b/>
          <w:bCs/>
          <w:sz w:val="20"/>
          <w:szCs w:val="20"/>
        </w:rPr>
        <w:t xml:space="preserve">E) </w:t>
      </w:r>
      <w:r>
        <w:rPr>
          <w:sz w:val="20"/>
          <w:szCs w:val="20"/>
        </w:rPr>
        <w:t xml:space="preserve">Incorrect — a standard, appropriate first-line stimulant agent.</w:t>
      </w:r>
    </w:p>
    <w:p>
      <w:pPr>
        <w:spacing w:after="200"/>
      </w:pPr>
      <w:r>
        <w:rPr>
          <w:i/>
          <w:iCs/>
          <w:color w:val="595959"/>
          <w:sz w:val="16"/>
          <w:szCs w:val="16"/>
        </w:rPr>
        <w:t xml:space="preserve">Source: StatPearls — Opioid-Induced Constipation — https://www.ncbi.nlm.nih.gov/books/NBK493184/</w:t>
      </w:r>
    </w:p>
    <w:p>
      <w:r>
        <w:br w:type="page"/>
      </w:r>
    </w:p>
    <w:p>
      <w:pPr>
        <w:pStyle w:val="Heading1"/>
        <w:pBdr>
          <w:bottom w:val="single" w:color="C00000" w:sz="8" w:space="4"/>
        </w:pBdr>
        <w:spacing w:after="300"/>
      </w:pPr>
      <w:r>
        <w:rPr>
          <w:b/>
          <w:bCs/>
          <w:color w:val="C00000"/>
          <w:sz w:val="32"/>
          <w:szCs w:val="32"/>
        </w:rPr>
        <w:t xml:space="preserve">Section 3: Salivary Gland Diseases</w:t>
      </w:r>
    </w:p>
    <w:p>
      <w:pPr>
        <w:spacing w:after="120" w:before="300"/>
      </w:pPr>
      <w:r>
        <w:rPr>
          <w:b/>
          <w:bCs/>
          <w:sz w:val="24"/>
          <w:szCs w:val="24"/>
        </w:rPr>
        <w:t xml:space="preserve">1. </w:t>
      </w:r>
      <w:r>
        <w:rPr>
          <w:sz w:val="24"/>
          <w:szCs w:val="24"/>
        </w:rPr>
        <w:t xml:space="preserve">A 45-year-old man presents with recurrent painful swelling beneath the jaw that worsens just before and during meals, then gradually subsides. Examination reveals a firm, tender submandibular gland, and a hard mass is palpable along the floor of the mouth in the region of the duct.</w:t>
      </w:r>
    </w:p>
    <w:p>
      <w:pPr>
        <w:spacing w:after="120"/>
      </w:pPr>
      <w:r>
        <w:rPr>
          <w:i/>
          <w:iCs/>
          <w:sz w:val="24"/>
          <w:szCs w:val="24"/>
        </w:rPr>
        <w:t xml:space="preserve">What is the most likely diagnosis, and which gland is most commonly affected by this condition?</w:t>
      </w:r>
    </w:p>
    <w:p>
      <w:pPr>
        <w:spacing w:after="60"/>
        <w:ind w:left="360"/>
      </w:pPr>
      <w:r>
        <w:rPr>
          <w:b/>
          <w:bCs/>
          <w:sz w:val="22"/>
          <w:szCs w:val="22"/>
        </w:rPr>
        <w:t xml:space="preserve">A) </w:t>
      </w:r>
      <w:r>
        <w:rPr>
          <w:sz w:val="22"/>
          <w:szCs w:val="22"/>
        </w:rPr>
        <w:t xml:space="preserve">Acute bacterial sialadenitis; parotid gland</w:t>
      </w:r>
    </w:p>
    <w:p>
      <w:pPr>
        <w:spacing w:after="60"/>
        <w:ind w:left="360"/>
      </w:pPr>
      <w:r>
        <w:rPr>
          <w:b/>
          <w:bCs/>
          <w:sz w:val="22"/>
          <w:szCs w:val="22"/>
        </w:rPr>
        <w:t xml:space="preserve">B) </w:t>
      </w:r>
      <w:r>
        <w:rPr>
          <w:sz w:val="22"/>
          <w:szCs w:val="22"/>
        </w:rPr>
        <w:t xml:space="preserve">Pleomorphic adenoma; parotid gland</w:t>
      </w:r>
    </w:p>
    <w:p>
      <w:pPr>
        <w:spacing w:after="60"/>
        <w:ind w:left="360"/>
      </w:pPr>
      <w:r>
        <w:rPr>
          <w:b/>
          <w:bCs/>
          <w:sz w:val="22"/>
          <w:szCs w:val="22"/>
        </w:rPr>
        <w:t xml:space="preserve">C) </w:t>
      </w:r>
      <w:r>
        <w:rPr>
          <w:sz w:val="22"/>
          <w:szCs w:val="22"/>
        </w:rPr>
        <w:t xml:space="preserve">Ranula; sublingual gland</w:t>
      </w:r>
    </w:p>
    <w:p>
      <w:pPr>
        <w:spacing w:after="60"/>
        <w:ind w:left="360"/>
      </w:pPr>
      <w:r>
        <w:rPr>
          <w:b/>
          <w:bCs/>
          <w:sz w:val="22"/>
          <w:szCs w:val="22"/>
        </w:rPr>
        <w:t xml:space="preserve">D) </w:t>
      </w:r>
      <w:r>
        <w:rPr>
          <w:sz w:val="22"/>
          <w:szCs w:val="22"/>
        </w:rPr>
        <w:t xml:space="preserve">Sialadenosis; parotid gland</w:t>
      </w:r>
    </w:p>
    <w:p>
      <w:pPr>
        <w:spacing w:after="60"/>
        <w:ind w:left="360"/>
      </w:pPr>
      <w:r>
        <w:rPr>
          <w:b/>
          <w:bCs/>
          <w:sz w:val="22"/>
          <w:szCs w:val="22"/>
        </w:rPr>
        <w:t xml:space="preserve">E) </w:t>
      </w:r>
      <w:r>
        <w:rPr>
          <w:sz w:val="22"/>
          <w:szCs w:val="22"/>
        </w:rPr>
        <w:t xml:space="preserve">Sialolithiasis; submandibular gland</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meal-related colic is classic for a stone, not acute infection.</w:t>
      </w:r>
    </w:p>
    <w:p>
      <w:pPr>
        <w:spacing w:after="40"/>
        <w:ind w:left="360"/>
      </w:pPr>
      <w:r>
        <w:rPr>
          <w:b/>
          <w:bCs/>
          <w:sz w:val="20"/>
          <w:szCs w:val="20"/>
        </w:rPr>
        <w:t xml:space="preserve">B) </w:t>
      </w:r>
      <w:r>
        <w:rPr>
          <w:sz w:val="20"/>
          <w:szCs w:val="20"/>
        </w:rPr>
        <w:t xml:space="preserve">Incorrect — pleomorphic adenoma is a painless mass, not meal-related colic.</w:t>
      </w:r>
    </w:p>
    <w:p>
      <w:pPr>
        <w:spacing w:after="40"/>
        <w:ind w:left="360"/>
      </w:pPr>
      <w:r>
        <w:rPr>
          <w:b/>
          <w:bCs/>
          <w:sz w:val="20"/>
          <w:szCs w:val="20"/>
        </w:rPr>
        <w:t xml:space="preserve">C) </w:t>
      </w:r>
      <w:r>
        <w:rPr>
          <w:sz w:val="20"/>
          <w:szCs w:val="20"/>
        </w:rPr>
        <w:t xml:space="preserve">Incorrect — ranula is painless, not colicky.</w:t>
      </w:r>
    </w:p>
    <w:p>
      <w:pPr>
        <w:spacing w:after="40"/>
        <w:ind w:left="360"/>
      </w:pPr>
      <w:r>
        <w:rPr>
          <w:b/>
          <w:bCs/>
          <w:sz w:val="20"/>
          <w:szCs w:val="20"/>
        </w:rPr>
        <w:t xml:space="preserve">D) </w:t>
      </w:r>
      <w:r>
        <w:rPr>
          <w:sz w:val="20"/>
          <w:szCs w:val="20"/>
        </w:rPr>
        <w:t xml:space="preserve">Incorrect — sialadenosis is painless and usually bilateral parotid.</w:t>
      </w:r>
    </w:p>
    <w:p>
      <w:pPr>
        <w:spacing w:after="40"/>
        <w:ind w:left="360"/>
      </w:pPr>
      <w:r>
        <w:rPr>
          <w:b/>
          <w:bCs/>
          <w:sz w:val="20"/>
          <w:szCs w:val="20"/>
        </w:rPr>
        <w:t xml:space="preserve">E) </w:t>
      </w:r>
      <w:r>
        <w:rPr>
          <w:sz w:val="20"/>
          <w:szCs w:val="20"/>
        </w:rPr>
        <w:t xml:space="preserve">Correct — meal-related colicky swelling is classic sialolithiasis; 80–90% of salivary stones occur in the submandibular gland due to viscous secretions and an upward-sloping duct.</w:t>
      </w:r>
    </w:p>
    <w:p>
      <w:pPr>
        <w:spacing w:after="200"/>
      </w:pPr>
      <w:r>
        <w:rPr>
          <w:i/>
          <w:iCs/>
          <w:color w:val="595959"/>
          <w:sz w:val="16"/>
          <w:szCs w:val="16"/>
        </w:rPr>
        <w:t xml:space="preserve">Source: PMC — Submandibular Gland Sialolithiasis Review — https://www.ncbi.nlm.nih.gov/pmc/articles/PMC9482556/</w:t>
      </w:r>
    </w:p>
    <w:p>
      <w:pPr>
        <w:spacing w:after="120" w:before="300"/>
      </w:pPr>
      <w:r>
        <w:rPr>
          <w:b/>
          <w:bCs/>
          <w:sz w:val="24"/>
          <w:szCs w:val="24"/>
        </w:rPr>
        <w:t xml:space="preserve">2. </w:t>
      </w:r>
      <w:r>
        <w:rPr>
          <w:sz w:val="24"/>
          <w:szCs w:val="24"/>
        </w:rPr>
        <w:t xml:space="preserve">An 80-year-old man, dehydrated and on anticholinergic medication after major abdominal surgery, develops a painful, erythematous swelling over the angle of the jaw with purulent discharge expressible from the parotid duct on massage. He is febrile and has poor oral hygiene.</w:t>
      </w:r>
    </w:p>
    <w:p>
      <w:pPr>
        <w:spacing w:after="120"/>
      </w:pPr>
      <w:r>
        <w:rPr>
          <w:i/>
          <w:iCs/>
          <w:sz w:val="24"/>
          <w:szCs w:val="24"/>
        </w:rPr>
        <w:t xml:space="preserve">What is the most likely causative organism, and what is the primary route of infection?</w:t>
      </w:r>
    </w:p>
    <w:p>
      <w:pPr>
        <w:spacing w:after="60"/>
        <w:ind w:left="360"/>
      </w:pPr>
      <w:r>
        <w:rPr>
          <w:b/>
          <w:bCs/>
          <w:sz w:val="22"/>
          <w:szCs w:val="22"/>
        </w:rPr>
        <w:t xml:space="preserve">A) </w:t>
      </w:r>
      <w:r>
        <w:rPr>
          <w:sz w:val="22"/>
          <w:szCs w:val="22"/>
        </w:rPr>
        <w:t xml:space="preserve">Escherichia coli; hematogenous spread</w:t>
      </w:r>
    </w:p>
    <w:p>
      <w:pPr>
        <w:spacing w:after="60"/>
        <w:ind w:left="360"/>
      </w:pPr>
      <w:r>
        <w:rPr>
          <w:b/>
          <w:bCs/>
          <w:sz w:val="22"/>
          <w:szCs w:val="22"/>
        </w:rPr>
        <w:t xml:space="preserve">B) </w:t>
      </w:r>
      <w:r>
        <w:rPr>
          <w:sz w:val="22"/>
          <w:szCs w:val="22"/>
        </w:rPr>
        <w:t xml:space="preserve">Mumps virus; droplet transmission</w:t>
      </w:r>
    </w:p>
    <w:p>
      <w:pPr>
        <w:spacing w:after="60"/>
        <w:ind w:left="360"/>
      </w:pPr>
      <w:r>
        <w:rPr>
          <w:b/>
          <w:bCs/>
          <w:sz w:val="22"/>
          <w:szCs w:val="22"/>
        </w:rPr>
        <w:t xml:space="preserve">C) </w:t>
      </w:r>
      <w:r>
        <w:rPr>
          <w:sz w:val="22"/>
          <w:szCs w:val="22"/>
        </w:rPr>
        <w:t xml:space="preserve">Mycobacterium tuberculosis; hematogenous spread</w:t>
      </w:r>
    </w:p>
    <w:p>
      <w:pPr>
        <w:spacing w:after="60"/>
        <w:ind w:left="360"/>
      </w:pPr>
      <w:r>
        <w:rPr>
          <w:b/>
          <w:bCs/>
          <w:sz w:val="22"/>
          <w:szCs w:val="22"/>
        </w:rPr>
        <w:t xml:space="preserve">D) </w:t>
      </w:r>
      <w:r>
        <w:rPr>
          <w:sz w:val="22"/>
          <w:szCs w:val="22"/>
        </w:rPr>
        <w:t xml:space="preserve">Staphylococcus aureus; retrograde ascent from the oral cavity</w:t>
      </w:r>
    </w:p>
    <w:p>
      <w:pPr>
        <w:spacing w:after="60"/>
        <w:ind w:left="360"/>
      </w:pPr>
      <w:r>
        <w:rPr>
          <w:b/>
          <w:bCs/>
          <w:sz w:val="22"/>
          <w:szCs w:val="22"/>
        </w:rPr>
        <w:t xml:space="preserve">E) </w:t>
      </w:r>
      <w:r>
        <w:rPr>
          <w:sz w:val="22"/>
          <w:szCs w:val="22"/>
        </w:rPr>
        <w:t xml:space="preserve">Streptococcus pyogenes; lymphatic spread from a dental abscess</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not the typical organism/route for this condition.</w:t>
      </w:r>
    </w:p>
    <w:p>
      <w:pPr>
        <w:spacing w:after="40"/>
        <w:ind w:left="360"/>
      </w:pPr>
      <w:r>
        <w:rPr>
          <w:b/>
          <w:bCs/>
          <w:sz w:val="20"/>
          <w:szCs w:val="20"/>
        </w:rPr>
        <w:t xml:space="preserve">B) </w:t>
      </w:r>
      <w:r>
        <w:rPr>
          <w:sz w:val="20"/>
          <w:szCs w:val="20"/>
        </w:rPr>
        <w:t xml:space="preserve">Incorrect — mumps is viral, causes painless bilateral swelling, not purulent discharge.</w:t>
      </w:r>
    </w:p>
    <w:p>
      <w:pPr>
        <w:spacing w:after="40"/>
        <w:ind w:left="360"/>
      </w:pPr>
      <w:r>
        <w:rPr>
          <w:b/>
          <w:bCs/>
          <w:sz w:val="20"/>
          <w:szCs w:val="20"/>
        </w:rPr>
        <w:t xml:space="preserve">C) </w:t>
      </w:r>
      <w:r>
        <w:rPr>
          <w:sz w:val="20"/>
          <w:szCs w:val="20"/>
        </w:rPr>
        <w:t xml:space="preserve">Incorrect — TB sialadenitis is rare and presents more indolently.</w:t>
      </w:r>
    </w:p>
    <w:p>
      <w:pPr>
        <w:spacing w:after="40"/>
        <w:ind w:left="360"/>
      </w:pPr>
      <w:r>
        <w:rPr>
          <w:b/>
          <w:bCs/>
          <w:sz w:val="20"/>
          <w:szCs w:val="20"/>
        </w:rPr>
        <w:t xml:space="preserve">D) </w:t>
      </w:r>
      <w:r>
        <w:rPr>
          <w:sz w:val="20"/>
          <w:szCs w:val="20"/>
        </w:rPr>
        <w:t xml:space="preserve">Correct — S. aureus is the most common causative organism (30–90% of cases), reaching the gland by retrograde ascent from the oral cavity, facilitated by reduced salivary flow (dehydration, anticholinergics, poor oral hygiene).</w:t>
      </w:r>
    </w:p>
    <w:p>
      <w:pPr>
        <w:spacing w:after="40"/>
        <w:ind w:left="360"/>
      </w:pPr>
      <w:r>
        <w:rPr>
          <w:b/>
          <w:bCs/>
          <w:sz w:val="20"/>
          <w:szCs w:val="20"/>
        </w:rPr>
        <w:t xml:space="preserve">E) </w:t>
      </w:r>
      <w:r>
        <w:rPr>
          <w:sz w:val="20"/>
          <w:szCs w:val="20"/>
        </w:rPr>
        <w:t xml:space="preserve">Incorrect — not the typical organism/route.</w:t>
      </w:r>
    </w:p>
    <w:p>
      <w:pPr>
        <w:spacing w:after="200"/>
      </w:pPr>
      <w:r>
        <w:rPr>
          <w:i/>
          <w:iCs/>
          <w:color w:val="595959"/>
          <w:sz w:val="16"/>
          <w:szCs w:val="16"/>
        </w:rPr>
        <w:t xml:space="preserve">Source: PMC — Acute Suppurative Parotitis — https://www.ncbi.nlm.nih.gov/pmc/articles/PMC8860495/</w:t>
      </w:r>
    </w:p>
    <w:p>
      <w:pPr>
        <w:spacing w:after="120" w:before="300"/>
      </w:pPr>
      <w:r>
        <w:rPr>
          <w:b/>
          <w:bCs/>
          <w:sz w:val="24"/>
          <w:szCs w:val="24"/>
        </w:rPr>
        <w:t xml:space="preserve">3. </w:t>
      </w:r>
      <w:r>
        <w:rPr>
          <w:sz w:val="24"/>
          <w:szCs w:val="24"/>
        </w:rPr>
        <w:t xml:space="preserve">A 50-year-old woman has had a slow-growing, painless, mobile lump in front of her right ear for the past 12 years. She now notices the lump has rapidly enlarged over the last two months and has become associated with mild facial weakness.</w:t>
      </w:r>
    </w:p>
    <w:p>
      <w:pPr>
        <w:spacing w:after="120"/>
      </w:pPr>
      <w:r>
        <w:rPr>
          <w:i/>
          <w:iCs/>
          <w:sz w:val="24"/>
          <w:szCs w:val="24"/>
        </w:rPr>
        <w:t xml:space="preserve">This history of long-standing tumor with recent rapid growth and facial nerve involvement is most suggestive of which diagnosis?</w:t>
      </w:r>
    </w:p>
    <w:p>
      <w:pPr>
        <w:spacing w:after="60"/>
        <w:ind w:left="360"/>
      </w:pPr>
      <w:r>
        <w:rPr>
          <w:b/>
          <w:bCs/>
          <w:sz w:val="22"/>
          <w:szCs w:val="22"/>
        </w:rPr>
        <w:t xml:space="preserve">A) </w:t>
      </w:r>
      <w:r>
        <w:rPr>
          <w:sz w:val="22"/>
          <w:szCs w:val="22"/>
        </w:rPr>
        <w:t xml:space="preserve">Acute suppurative parotitis</w:t>
      </w:r>
    </w:p>
    <w:p>
      <w:pPr>
        <w:spacing w:after="60"/>
        <w:ind w:left="360"/>
      </w:pPr>
      <w:r>
        <w:rPr>
          <w:b/>
          <w:bCs/>
          <w:sz w:val="22"/>
          <w:szCs w:val="22"/>
        </w:rPr>
        <w:t xml:space="preserve">B) </w:t>
      </w:r>
      <w:r>
        <w:rPr>
          <w:sz w:val="22"/>
          <w:szCs w:val="22"/>
        </w:rPr>
        <w:t xml:space="preserve">Carcinoma ex pleomorphic adenoma (malignant transformation)</w:t>
      </w:r>
    </w:p>
    <w:p>
      <w:pPr>
        <w:spacing w:after="60"/>
        <w:ind w:left="360"/>
      </w:pPr>
      <w:r>
        <w:rPr>
          <w:b/>
          <w:bCs/>
          <w:sz w:val="22"/>
          <w:szCs w:val="22"/>
        </w:rPr>
        <w:t xml:space="preserve">C) </w:t>
      </w:r>
      <w:r>
        <w:rPr>
          <w:sz w:val="22"/>
          <w:szCs w:val="22"/>
        </w:rPr>
        <w:t xml:space="preserve">Simple recurrence of a benign pleomorphic adenoma</w:t>
      </w:r>
    </w:p>
    <w:p>
      <w:pPr>
        <w:spacing w:after="60"/>
        <w:ind w:left="360"/>
      </w:pPr>
      <w:r>
        <w:rPr>
          <w:b/>
          <w:bCs/>
          <w:sz w:val="22"/>
          <w:szCs w:val="22"/>
        </w:rPr>
        <w:t xml:space="preserve">D) </w:t>
      </w:r>
      <w:r>
        <w:rPr>
          <w:sz w:val="22"/>
          <w:szCs w:val="22"/>
        </w:rPr>
        <w:t xml:space="preserve">Sjögren syndrome</w:t>
      </w:r>
    </w:p>
    <w:p>
      <w:pPr>
        <w:spacing w:after="60"/>
        <w:ind w:left="360"/>
      </w:pPr>
      <w:r>
        <w:rPr>
          <w:b/>
          <w:bCs/>
          <w:sz w:val="22"/>
          <w:szCs w:val="22"/>
        </w:rPr>
        <w:t xml:space="preserve">E) </w:t>
      </w:r>
      <w:r>
        <w:rPr>
          <w:sz w:val="22"/>
          <w:szCs w:val="22"/>
        </w:rPr>
        <w:t xml:space="preserve">Warthin tumor</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fever/erythema/purulence; the history is one of a chronic mass, not acute infection.</w:t>
      </w:r>
    </w:p>
    <w:p>
      <w:pPr>
        <w:spacing w:after="40"/>
        <w:ind w:left="360"/>
      </w:pPr>
      <w:r>
        <w:rPr>
          <w:b/>
          <w:bCs/>
          <w:sz w:val="20"/>
          <w:szCs w:val="20"/>
        </w:rPr>
        <w:t xml:space="preserve">B) </w:t>
      </w:r>
      <w:r>
        <w:rPr>
          <w:sz w:val="20"/>
          <w:szCs w:val="20"/>
        </w:rPr>
        <w:t xml:space="preserve">Correct — long-standing pleomorphic adenoma (risk ~1% per year) with sudden rapid growth and new facial nerve involvement is the classic presentation of malignant transformation to carcinoma ex pleomorphic adenoma.</w:t>
      </w:r>
    </w:p>
    <w:p>
      <w:pPr>
        <w:spacing w:after="40"/>
        <w:ind w:left="360"/>
      </w:pPr>
      <w:r>
        <w:rPr>
          <w:b/>
          <w:bCs/>
          <w:sz w:val="20"/>
          <w:szCs w:val="20"/>
        </w:rPr>
        <w:t xml:space="preserve">C) </w:t>
      </w:r>
      <w:r>
        <w:rPr>
          <w:sz w:val="20"/>
          <w:szCs w:val="20"/>
        </w:rPr>
        <w:t xml:space="preserve">Incorrect — simple benign recurrence would not typically cause facial nerve weakness.</w:t>
      </w:r>
    </w:p>
    <w:p>
      <w:pPr>
        <w:spacing w:after="40"/>
        <w:ind w:left="360"/>
      </w:pPr>
      <w:r>
        <w:rPr>
          <w:b/>
          <w:bCs/>
          <w:sz w:val="20"/>
          <w:szCs w:val="20"/>
        </w:rPr>
        <w:t xml:space="preserve">D) </w:t>
      </w:r>
      <w:r>
        <w:rPr>
          <w:sz w:val="20"/>
          <w:szCs w:val="20"/>
        </w:rPr>
        <w:t xml:space="preserve">Incorrect — Sjögren syndrome causes dry mouth/eyes and diffuse gland involvement, not a discrete rapidly growing mass.</w:t>
      </w:r>
    </w:p>
    <w:p>
      <w:pPr>
        <w:spacing w:after="40"/>
        <w:ind w:left="360"/>
      </w:pPr>
      <w:r>
        <w:rPr>
          <w:b/>
          <w:bCs/>
          <w:sz w:val="20"/>
          <w:szCs w:val="20"/>
        </w:rPr>
        <w:t xml:space="preserve">E) </w:t>
      </w:r>
      <w:r>
        <w:rPr>
          <w:sz w:val="20"/>
          <w:szCs w:val="20"/>
        </w:rPr>
        <w:t xml:space="preserve">Incorrect — Warthin tumor doesn't have long-standing benign-to-rapid-growth-with-nerve-invasion behavior.</w:t>
      </w:r>
    </w:p>
    <w:p>
      <w:pPr>
        <w:spacing w:after="200"/>
      </w:pPr>
      <w:r>
        <w:rPr>
          <w:i/>
          <w:iCs/>
          <w:color w:val="595959"/>
          <w:sz w:val="16"/>
          <w:szCs w:val="16"/>
        </w:rPr>
        <w:t xml:space="preserve">Source: StatPearls — Pleomorphic Adenoma — https://www.ncbi.nlm.nih.gov/books/NBK430829/</w:t>
      </w:r>
    </w:p>
    <w:p>
      <w:pPr>
        <w:spacing w:after="120" w:before="300"/>
      </w:pPr>
      <w:r>
        <w:rPr>
          <w:b/>
          <w:bCs/>
          <w:sz w:val="24"/>
          <w:szCs w:val="24"/>
        </w:rPr>
        <w:t xml:space="preserve">4. </w:t>
      </w:r>
      <w:r>
        <w:rPr>
          <w:sz w:val="24"/>
          <w:szCs w:val="24"/>
        </w:rPr>
        <w:t xml:space="preserve">A 65-year-old man with a 40-year smoking history presents with two painless, soft, cystic swellings — one in the tail of each parotid gland. Both lumps have grown slowly over several years, and there is no facial weakness or skin changes.</w:t>
      </w:r>
    </w:p>
    <w:p>
      <w:pPr>
        <w:spacing w:after="120"/>
      </w:pPr>
      <w:r>
        <w:rPr>
          <w:i/>
          <w:iCs/>
          <w:sz w:val="24"/>
          <w:szCs w:val="24"/>
        </w:rPr>
        <w:t xml:space="preserve">What is the most likely diagnosis?</w:t>
      </w:r>
    </w:p>
    <w:p>
      <w:pPr>
        <w:spacing w:after="60"/>
        <w:ind w:left="360"/>
      </w:pPr>
      <w:r>
        <w:rPr>
          <w:b/>
          <w:bCs/>
          <w:sz w:val="22"/>
          <w:szCs w:val="22"/>
        </w:rPr>
        <w:t xml:space="preserve">A) </w:t>
      </w:r>
      <w:r>
        <w:rPr>
          <w:sz w:val="22"/>
          <w:szCs w:val="22"/>
        </w:rPr>
        <w:t xml:space="preserve">Adenoid cystic carcinoma</w:t>
      </w:r>
    </w:p>
    <w:p>
      <w:pPr>
        <w:spacing w:after="60"/>
        <w:ind w:left="360"/>
      </w:pPr>
      <w:r>
        <w:rPr>
          <w:b/>
          <w:bCs/>
          <w:sz w:val="22"/>
          <w:szCs w:val="22"/>
        </w:rPr>
        <w:t xml:space="preserve">B) </w:t>
      </w:r>
      <w:r>
        <w:rPr>
          <w:sz w:val="22"/>
          <w:szCs w:val="22"/>
        </w:rPr>
        <w:t xml:space="preserve">HIV-associated benign lymphoepithelial cysts</w:t>
      </w:r>
    </w:p>
    <w:p>
      <w:pPr>
        <w:spacing w:after="60"/>
        <w:ind w:left="360"/>
      </w:pPr>
      <w:r>
        <w:rPr>
          <w:b/>
          <w:bCs/>
          <w:sz w:val="22"/>
          <w:szCs w:val="22"/>
        </w:rPr>
        <w:t xml:space="preserve">C) </w:t>
      </w:r>
      <w:r>
        <w:rPr>
          <w:sz w:val="22"/>
          <w:szCs w:val="22"/>
        </w:rPr>
        <w:t xml:space="preserve">Mucoepidermoid carcinoma</w:t>
      </w:r>
    </w:p>
    <w:p>
      <w:pPr>
        <w:spacing w:after="60"/>
        <w:ind w:left="360"/>
      </w:pPr>
      <w:r>
        <w:rPr>
          <w:b/>
          <w:bCs/>
          <w:sz w:val="22"/>
          <w:szCs w:val="22"/>
        </w:rPr>
        <w:t xml:space="preserve">D) </w:t>
      </w:r>
      <w:r>
        <w:rPr>
          <w:sz w:val="22"/>
          <w:szCs w:val="22"/>
        </w:rPr>
        <w:t xml:space="preserve">Pleomorphic adenoma</w:t>
      </w:r>
    </w:p>
    <w:p>
      <w:pPr>
        <w:spacing w:after="60"/>
        <w:ind w:left="360"/>
      </w:pPr>
      <w:r>
        <w:rPr>
          <w:b/>
          <w:bCs/>
          <w:sz w:val="22"/>
          <w:szCs w:val="22"/>
        </w:rPr>
        <w:t xml:space="preserve">E) </w:t>
      </w:r>
      <w:r>
        <w:rPr>
          <w:sz w:val="22"/>
          <w:szCs w:val="22"/>
        </w:rPr>
        <w:t xml:space="preserve">Warthin tumor (papillary cystadenoma lymphomatosum)</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usually unilateral, firmer, with pain/nerve symptoms.</w:t>
      </w:r>
    </w:p>
    <w:p>
      <w:pPr>
        <w:spacing w:after="40"/>
        <w:ind w:left="360"/>
      </w:pPr>
      <w:r>
        <w:rPr>
          <w:b/>
          <w:bCs/>
          <w:sz w:val="20"/>
          <w:szCs w:val="20"/>
        </w:rPr>
        <w:t xml:space="preserve">B) </w:t>
      </w:r>
      <w:r>
        <w:rPr>
          <w:sz w:val="20"/>
          <w:szCs w:val="20"/>
        </w:rPr>
        <w:t xml:space="preserve">Incorrect — relates to HIV, not smoking, and no HIV context given.</w:t>
      </w:r>
    </w:p>
    <w:p>
      <w:pPr>
        <w:spacing w:after="40"/>
        <w:ind w:left="360"/>
      </w:pPr>
      <w:r>
        <w:rPr>
          <w:b/>
          <w:bCs/>
          <w:sz w:val="20"/>
          <w:szCs w:val="20"/>
        </w:rPr>
        <w:t xml:space="preserve">C) </w:t>
      </w:r>
      <w:r>
        <w:rPr>
          <w:sz w:val="20"/>
          <w:szCs w:val="20"/>
        </w:rPr>
        <w:t xml:space="preserve">Incorrect — typically unilateral and malignant.</w:t>
      </w:r>
    </w:p>
    <w:p>
      <w:pPr>
        <w:spacing w:after="40"/>
        <w:ind w:left="360"/>
      </w:pPr>
      <w:r>
        <w:rPr>
          <w:b/>
          <w:bCs/>
          <w:sz w:val="20"/>
          <w:szCs w:val="20"/>
        </w:rPr>
        <w:t xml:space="preserve">D) </w:t>
      </w:r>
      <w:r>
        <w:rPr>
          <w:sz w:val="20"/>
          <w:szCs w:val="20"/>
        </w:rPr>
        <w:t xml:space="preserve">Incorrect — typically solid and unilateral, not bilateral cystic.</w:t>
      </w:r>
    </w:p>
    <w:p>
      <w:pPr>
        <w:spacing w:after="40"/>
        <w:ind w:left="360"/>
      </w:pPr>
      <w:r>
        <w:rPr>
          <w:b/>
          <w:bCs/>
          <w:sz w:val="20"/>
          <w:szCs w:val="20"/>
        </w:rPr>
        <w:t xml:space="preserve">E) </w:t>
      </w:r>
      <w:r>
        <w:rPr>
          <w:sz w:val="20"/>
          <w:szCs w:val="20"/>
        </w:rPr>
        <w:t xml:space="preserve">Correct — strongly linked to smoking, classically in the parotid tail, bilateral/multifocal in 10–15% and accounts for 70% of bilateral salivary tumors.</w:t>
      </w:r>
    </w:p>
    <w:p>
      <w:pPr>
        <w:spacing w:after="200"/>
      </w:pPr>
      <w:r>
        <w:rPr>
          <w:i/>
          <w:iCs/>
          <w:color w:val="595959"/>
          <w:sz w:val="16"/>
          <w:szCs w:val="16"/>
        </w:rPr>
        <w:t xml:space="preserve">Source: PMC — Tobacco Exposure and Warthin's Tumor — https://pmc.ncbi.nlm.nih.gov/articles/PMC12627354/</w:t>
      </w:r>
    </w:p>
    <w:p>
      <w:pPr>
        <w:spacing w:after="120" w:before="300"/>
      </w:pPr>
      <w:r>
        <w:rPr>
          <w:b/>
          <w:bCs/>
          <w:sz w:val="24"/>
          <w:szCs w:val="24"/>
        </w:rPr>
        <w:t xml:space="preserve">5. </w:t>
      </w:r>
      <w:r>
        <w:rPr>
          <w:sz w:val="24"/>
          <w:szCs w:val="24"/>
        </w:rPr>
        <w:t xml:space="preserve">A 48-year-old woman presents with a firm, gradually enlarging mass in the parotid gland noticed over several months. Biopsy shows a malignant tumor composed of mucous, intermediate, and epidermoid cells, without any other salivary tissue type. She is referred for surgical staging and possible adjuvant radiotherapy.</w:t>
      </w:r>
    </w:p>
    <w:p>
      <w:pPr>
        <w:spacing w:after="120"/>
      </w:pPr>
      <w:r>
        <w:rPr>
          <w:i/>
          <w:iCs/>
          <w:sz w:val="24"/>
          <w:szCs w:val="24"/>
        </w:rPr>
        <w:t xml:space="preserve">What is this diagnosis, and what is its significance among salivary gland tumors?</w:t>
      </w:r>
    </w:p>
    <w:p>
      <w:pPr>
        <w:spacing w:after="60"/>
        <w:ind w:left="360"/>
      </w:pPr>
      <w:r>
        <w:rPr>
          <w:b/>
          <w:bCs/>
          <w:sz w:val="22"/>
          <w:szCs w:val="22"/>
        </w:rPr>
        <w:t xml:space="preserve">A) </w:t>
      </w:r>
      <w:r>
        <w:rPr>
          <w:sz w:val="22"/>
          <w:szCs w:val="22"/>
        </w:rPr>
        <w:t xml:space="preserve">Acinic cell carcinoma — the rarest salivary malignancy</w:t>
      </w:r>
    </w:p>
    <w:p>
      <w:pPr>
        <w:spacing w:after="60"/>
        <w:ind w:left="360"/>
      </w:pPr>
      <w:r>
        <w:rPr>
          <w:b/>
          <w:bCs/>
          <w:sz w:val="22"/>
          <w:szCs w:val="22"/>
        </w:rPr>
        <w:t xml:space="preserve">B) </w:t>
      </w:r>
      <w:r>
        <w:rPr>
          <w:sz w:val="22"/>
          <w:szCs w:val="22"/>
        </w:rPr>
        <w:t xml:space="preserve">Adenoid cystic carcinoma — the tumor with the highest rate of perineural invasion</w:t>
      </w:r>
    </w:p>
    <w:p>
      <w:pPr>
        <w:spacing w:after="60"/>
        <w:ind w:left="360"/>
      </w:pPr>
      <w:r>
        <w:rPr>
          <w:b/>
          <w:bCs/>
          <w:sz w:val="22"/>
          <w:szCs w:val="22"/>
        </w:rPr>
        <w:t xml:space="preserve">C) </w:t>
      </w:r>
      <w:r>
        <w:rPr>
          <w:sz w:val="22"/>
          <w:szCs w:val="22"/>
        </w:rPr>
        <w:t xml:space="preserve">Carcinoma ex pleomorphic adenoma — arising from a pre-existing benign tumor</w:t>
      </w:r>
    </w:p>
    <w:p>
      <w:pPr>
        <w:spacing w:after="60"/>
        <w:ind w:left="360"/>
      </w:pPr>
      <w:r>
        <w:rPr>
          <w:b/>
          <w:bCs/>
          <w:sz w:val="22"/>
          <w:szCs w:val="22"/>
        </w:rPr>
        <w:t xml:space="preserve">D) </w:t>
      </w:r>
      <w:r>
        <w:rPr>
          <w:sz w:val="22"/>
          <w:szCs w:val="22"/>
        </w:rPr>
        <w:t xml:space="preserve">Mucoepidermoid carcinoma — the most common malignant salivary gland tumor overall</w:t>
      </w:r>
    </w:p>
    <w:p>
      <w:pPr>
        <w:spacing w:after="60"/>
        <w:ind w:left="360"/>
      </w:pPr>
      <w:r>
        <w:rPr>
          <w:b/>
          <w:bCs/>
          <w:sz w:val="22"/>
          <w:szCs w:val="22"/>
        </w:rPr>
        <w:t xml:space="preserve">E) </w:t>
      </w:r>
      <w:r>
        <w:rPr>
          <w:sz w:val="22"/>
          <w:szCs w:val="22"/>
        </w:rPr>
        <w:t xml:space="preserve">Warthin tumor — the second most common benign parotid tumor</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histology described doesn't match acinic cell carcinoma.</w:t>
      </w:r>
    </w:p>
    <w:p>
      <w:pPr>
        <w:spacing w:after="40"/>
        <w:ind w:left="360"/>
      </w:pPr>
      <w:r>
        <w:rPr>
          <w:b/>
          <w:bCs/>
          <w:sz w:val="20"/>
          <w:szCs w:val="20"/>
        </w:rPr>
        <w:t xml:space="preserve">B) </w:t>
      </w:r>
      <w:r>
        <w:rPr>
          <w:sz w:val="20"/>
          <w:szCs w:val="20"/>
        </w:rPr>
        <w:t xml:space="preserve">Incorrect — the described histology is not that of adenoid cystic carcinoma.</w:t>
      </w:r>
    </w:p>
    <w:p>
      <w:pPr>
        <w:spacing w:after="40"/>
        <w:ind w:left="360"/>
      </w:pPr>
      <w:r>
        <w:rPr>
          <w:b/>
          <w:bCs/>
          <w:sz w:val="20"/>
          <w:szCs w:val="20"/>
        </w:rPr>
        <w:t xml:space="preserve">C) </w:t>
      </w:r>
      <w:r>
        <w:rPr>
          <w:sz w:val="20"/>
          <w:szCs w:val="20"/>
        </w:rPr>
        <w:t xml:space="preserve">Incorrect — no history of a pre-existing benign tumor is given.</w:t>
      </w:r>
    </w:p>
    <w:p>
      <w:pPr>
        <w:spacing w:after="40"/>
        <w:ind w:left="360"/>
      </w:pPr>
      <w:r>
        <w:rPr>
          <w:b/>
          <w:bCs/>
          <w:sz w:val="20"/>
          <w:szCs w:val="20"/>
        </w:rPr>
        <w:t xml:space="preserve">D) </w:t>
      </w:r>
      <w:r>
        <w:rPr>
          <w:sz w:val="20"/>
          <w:szCs w:val="20"/>
        </w:rPr>
        <w:t xml:space="preserve">Correct — the described histology (mucous, intermediate, epidermoid cells) is diagnostic of mucoepidermoid carcinoma, which is the most common malignant salivary gland tumor overall (10–15% of all salivary tumors, ~30% of malignancies).</w:t>
      </w:r>
    </w:p>
    <w:p>
      <w:pPr>
        <w:spacing w:after="40"/>
        <w:ind w:left="360"/>
      </w:pPr>
      <w:r>
        <w:rPr>
          <w:b/>
          <w:bCs/>
          <w:sz w:val="20"/>
          <w:szCs w:val="20"/>
        </w:rPr>
        <w:t xml:space="preserve">E) </w:t>
      </w:r>
      <w:r>
        <w:rPr>
          <w:sz w:val="20"/>
          <w:szCs w:val="20"/>
        </w:rPr>
        <w:t xml:space="preserve">Incorrect — Warthin tumor is benign, not malignant, and has different histology.</w:t>
      </w:r>
    </w:p>
    <w:p>
      <w:pPr>
        <w:spacing w:after="200"/>
      </w:pPr>
      <w:r>
        <w:rPr>
          <w:i/>
          <w:iCs/>
          <w:color w:val="595959"/>
          <w:sz w:val="16"/>
          <w:szCs w:val="16"/>
        </w:rPr>
        <w:t xml:space="preserve">Source: PMC — Salivary Mucoepidermoid Carcinoma Outcomes — https://pmc.ncbi.nlm.nih.gov/articles/PMC11496733/</w:t>
      </w:r>
    </w:p>
    <w:p>
      <w:pPr>
        <w:spacing w:after="120" w:before="300"/>
      </w:pPr>
      <w:r>
        <w:rPr>
          <w:b/>
          <w:bCs/>
          <w:sz w:val="24"/>
          <w:szCs w:val="24"/>
        </w:rPr>
        <w:t xml:space="preserve">6. </w:t>
      </w:r>
      <w:r>
        <w:rPr>
          <w:sz w:val="24"/>
          <w:szCs w:val="24"/>
        </w:rPr>
        <w:t xml:space="preserve">A 55-year-old man presents with a slow-growing, painful lump in the region of his minor salivary glands on the hard palate, accompanied by numbness of the overlying mucosa. Histology reveals a cribriform pattern with tumor cells tracking along nerve fibers.</w:t>
      </w:r>
    </w:p>
    <w:p>
      <w:pPr>
        <w:spacing w:after="120"/>
      </w:pPr>
      <w:r>
        <w:rPr>
          <w:i/>
          <w:iCs/>
          <w:sz w:val="24"/>
          <w:szCs w:val="24"/>
        </w:rPr>
        <w:t xml:space="preserve">Which feature of this tumor is most responsible for its high rate of local recurrence?</w:t>
      </w:r>
    </w:p>
    <w:p>
      <w:pPr>
        <w:spacing w:after="60"/>
        <w:ind w:left="360"/>
      </w:pPr>
      <w:r>
        <w:rPr>
          <w:b/>
          <w:bCs/>
          <w:sz w:val="22"/>
          <w:szCs w:val="22"/>
        </w:rPr>
        <w:t xml:space="preserve">A) </w:t>
      </w:r>
      <w:r>
        <w:rPr>
          <w:sz w:val="22"/>
          <w:szCs w:val="22"/>
        </w:rPr>
        <w:t xml:space="preserve">Extensive lymphatic spread at presentation</w:t>
      </w:r>
    </w:p>
    <w:p>
      <w:pPr>
        <w:spacing w:after="60"/>
        <w:ind w:left="360"/>
      </w:pPr>
      <w:r>
        <w:rPr>
          <w:b/>
          <w:bCs/>
          <w:sz w:val="22"/>
          <w:szCs w:val="22"/>
        </w:rPr>
        <w:t xml:space="preserve">B) </w:t>
      </w:r>
      <w:r>
        <w:rPr>
          <w:sz w:val="22"/>
          <w:szCs w:val="22"/>
        </w:rPr>
        <w:t xml:space="preserve">High mitotic rate and rapid doubling time</w:t>
      </w:r>
    </w:p>
    <w:p>
      <w:pPr>
        <w:spacing w:after="60"/>
        <w:ind w:left="360"/>
      </w:pPr>
      <w:r>
        <w:rPr>
          <w:b/>
          <w:bCs/>
          <w:sz w:val="22"/>
          <w:szCs w:val="22"/>
        </w:rPr>
        <w:t xml:space="preserve">C) </w:t>
      </w:r>
      <w:r>
        <w:rPr>
          <w:sz w:val="22"/>
          <w:szCs w:val="22"/>
        </w:rPr>
        <w:t xml:space="preserve">Marked lymphocytic stroma resembling lymph node tissue</w:t>
      </w:r>
    </w:p>
    <w:p>
      <w:pPr>
        <w:spacing w:after="60"/>
        <w:ind w:left="360"/>
      </w:pPr>
      <w:r>
        <w:rPr>
          <w:b/>
          <w:bCs/>
          <w:sz w:val="22"/>
          <w:szCs w:val="22"/>
        </w:rPr>
        <w:t xml:space="preserve">D) </w:t>
      </w:r>
      <w:r>
        <w:rPr>
          <w:sz w:val="22"/>
          <w:szCs w:val="22"/>
        </w:rPr>
        <w:t xml:space="preserve">Perineural invasion allowing spread along nerve sheaths beyond the visible tumor margin</w:t>
      </w:r>
    </w:p>
    <w:p>
      <w:pPr>
        <w:spacing w:after="60"/>
        <w:ind w:left="360"/>
      </w:pPr>
      <w:r>
        <w:rPr>
          <w:b/>
          <w:bCs/>
          <w:sz w:val="22"/>
          <w:szCs w:val="22"/>
        </w:rPr>
        <w:t xml:space="preserve">E) </w:t>
      </w:r>
      <w:r>
        <w:rPr>
          <w:sz w:val="22"/>
          <w:szCs w:val="22"/>
        </w:rPr>
        <w:t xml:space="preserve">Production of large mucin pools that obscure surgical margins</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adenoid cystic carcinoma spreads more via perineural/hematogenous routes than lymphatic spread.</w:t>
      </w:r>
    </w:p>
    <w:p>
      <w:pPr>
        <w:spacing w:after="40"/>
        <w:ind w:left="360"/>
      </w:pPr>
      <w:r>
        <w:rPr>
          <w:b/>
          <w:bCs/>
          <w:sz w:val="20"/>
          <w:szCs w:val="20"/>
        </w:rPr>
        <w:t xml:space="preserve">B) </w:t>
      </w:r>
      <w:r>
        <w:rPr>
          <w:sz w:val="20"/>
          <w:szCs w:val="20"/>
        </w:rPr>
        <w:t xml:space="preserve">Incorrect — it is typically a slow-growing tumor, not high-grade/rapidly dividing.</w:t>
      </w:r>
    </w:p>
    <w:p>
      <w:pPr>
        <w:spacing w:after="40"/>
        <w:ind w:left="360"/>
      </w:pPr>
      <w:r>
        <w:rPr>
          <w:b/>
          <w:bCs/>
          <w:sz w:val="20"/>
          <w:szCs w:val="20"/>
        </w:rPr>
        <w:t xml:space="preserve">C) </w:t>
      </w:r>
      <w:r>
        <w:rPr>
          <w:sz w:val="20"/>
          <w:szCs w:val="20"/>
        </w:rPr>
        <w:t xml:space="preserve">Incorrect — lymphocytic stroma is a feature of Warthin tumor, not ACC.</w:t>
      </w:r>
    </w:p>
    <w:p>
      <w:pPr>
        <w:spacing w:after="40"/>
        <w:ind w:left="360"/>
      </w:pPr>
      <w:r>
        <w:rPr>
          <w:b/>
          <w:bCs/>
          <w:sz w:val="20"/>
          <w:szCs w:val="20"/>
        </w:rPr>
        <w:t xml:space="preserve">D) </w:t>
      </w:r>
      <w:r>
        <w:rPr>
          <w:sz w:val="20"/>
          <w:szCs w:val="20"/>
        </w:rPr>
        <w:t xml:space="preserve">Correct — perineural invasion, seen in over 40% of cases, allows the tumor to spread along nerves well beyond the visible/palpable margin, driving its characteristic high local recurrence rate (about 50%).</w:t>
      </w:r>
    </w:p>
    <w:p>
      <w:pPr>
        <w:spacing w:after="40"/>
        <w:ind w:left="360"/>
      </w:pPr>
      <w:r>
        <w:rPr>
          <w:b/>
          <w:bCs/>
          <w:sz w:val="20"/>
          <w:szCs w:val="20"/>
        </w:rPr>
        <w:t xml:space="preserve">E) </w:t>
      </w:r>
      <w:r>
        <w:rPr>
          <w:sz w:val="20"/>
          <w:szCs w:val="20"/>
        </w:rPr>
        <w:t xml:space="preserve">Incorrect — mucin pools are more a feature of mucoepidermoid carcinoma.</w:t>
      </w:r>
    </w:p>
    <w:p>
      <w:pPr>
        <w:spacing w:after="200"/>
      </w:pPr>
      <w:r>
        <w:rPr>
          <w:i/>
          <w:iCs/>
          <w:color w:val="595959"/>
          <w:sz w:val="16"/>
          <w:szCs w:val="16"/>
        </w:rPr>
        <w:t xml:space="preserve">Source: PMC — Perineural Invasion in Adenoid Cystic Carcinoma — https://www.ncbi.nlm.nih.gov/pmc/articles/PMC7461905/</w:t>
      </w:r>
    </w:p>
    <w:p>
      <w:pPr>
        <w:spacing w:after="120" w:before="300"/>
      </w:pPr>
      <w:r>
        <w:rPr>
          <w:b/>
          <w:bCs/>
          <w:sz w:val="24"/>
          <w:szCs w:val="24"/>
        </w:rPr>
        <w:t xml:space="preserve">7. </w:t>
      </w:r>
      <w:r>
        <w:rPr>
          <w:sz w:val="24"/>
          <w:szCs w:val="24"/>
        </w:rPr>
        <w:t xml:space="preserve">Eight months after a superficial parotidectomy for a pleomorphic adenoma, a 60-year-old woman notices flushing, warmth, and sweating over her cheek every time she eats or even thinks about food. She finds this socially embarrassing and asks about treatment options.</w:t>
      </w:r>
    </w:p>
    <w:p>
      <w:pPr>
        <w:spacing w:after="120"/>
      </w:pPr>
      <w:r>
        <w:rPr>
          <w:i/>
          <w:iCs/>
          <w:sz w:val="24"/>
          <w:szCs w:val="24"/>
        </w:rPr>
        <w:t xml:space="preserve">What is the underlying pathophysiology of this condition, and what is an effective treatment?</w:t>
      </w:r>
    </w:p>
    <w:p>
      <w:pPr>
        <w:spacing w:after="60"/>
        <w:ind w:left="360"/>
      </w:pPr>
      <w:r>
        <w:rPr>
          <w:b/>
          <w:bCs/>
          <w:sz w:val="22"/>
          <w:szCs w:val="22"/>
        </w:rPr>
        <w:t xml:space="preserve">A) </w:t>
      </w:r>
      <w:r>
        <w:rPr>
          <w:sz w:val="22"/>
          <w:szCs w:val="22"/>
        </w:rPr>
        <w:t xml:space="preserve">Aberrant regeneration of parasympathetic secretomotor fibers into cutaneous sweat glands; intracutaneous botulinum toxin injection</w:t>
      </w:r>
    </w:p>
    <w:p>
      <w:pPr>
        <w:spacing w:after="60"/>
        <w:ind w:left="360"/>
      </w:pPr>
      <w:r>
        <w:rPr>
          <w:b/>
          <w:bCs/>
          <w:sz w:val="22"/>
          <w:szCs w:val="22"/>
        </w:rPr>
        <w:t xml:space="preserve">B) </w:t>
      </w:r>
      <w:r>
        <w:rPr>
          <w:sz w:val="22"/>
          <w:szCs w:val="22"/>
        </w:rPr>
        <w:t xml:space="preserve">Autoimmune destruction of sweat glands; systemic corticosteroids</w:t>
      </w:r>
    </w:p>
    <w:p>
      <w:pPr>
        <w:spacing w:after="60"/>
        <w:ind w:left="360"/>
      </w:pPr>
      <w:r>
        <w:rPr>
          <w:b/>
          <w:bCs/>
          <w:sz w:val="22"/>
          <w:szCs w:val="22"/>
        </w:rPr>
        <w:t xml:space="preserve">C) </w:t>
      </w:r>
      <w:r>
        <w:rPr>
          <w:sz w:val="22"/>
          <w:szCs w:val="22"/>
        </w:rPr>
        <w:t xml:space="preserve">Direct facial nerve transection; nerve grafting</w:t>
      </w:r>
    </w:p>
    <w:p>
      <w:pPr>
        <w:spacing w:after="60"/>
        <w:ind w:left="360"/>
      </w:pPr>
      <w:r>
        <w:rPr>
          <w:b/>
          <w:bCs/>
          <w:sz w:val="22"/>
          <w:szCs w:val="22"/>
        </w:rPr>
        <w:t xml:space="preserve">D) </w:t>
      </w:r>
      <w:r>
        <w:rPr>
          <w:sz w:val="22"/>
          <w:szCs w:val="22"/>
        </w:rPr>
        <w:t xml:space="preserve">Recurrent tumor infiltrating the skin; wide local excision</w:t>
      </w:r>
    </w:p>
    <w:p>
      <w:pPr>
        <w:spacing w:after="60"/>
        <w:ind w:left="360"/>
      </w:pPr>
      <w:r>
        <w:rPr>
          <w:b/>
          <w:bCs/>
          <w:sz w:val="22"/>
          <w:szCs w:val="22"/>
        </w:rPr>
        <w:t xml:space="preserve">E) </w:t>
      </w:r>
      <w:r>
        <w:rPr>
          <w:sz w:val="22"/>
          <w:szCs w:val="22"/>
        </w:rPr>
        <w:t xml:space="preserve">Sympathetic nerve hyperactivity; beta-blocker therapy</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Frey syndrome results from aberrant reinnervation of severed parasympathetic (secretomotor) fibers from the auriculotemporal nerve into the denervated sweat glands and cutaneous vessels of the overlying skin; intracutaneous botulinum toxin is a safe, effective, long-lasting treatment.</w:t>
      </w:r>
    </w:p>
    <w:p>
      <w:pPr>
        <w:spacing w:after="40"/>
        <w:ind w:left="360"/>
      </w:pPr>
      <w:r>
        <w:rPr>
          <w:b/>
          <w:bCs/>
          <w:sz w:val="20"/>
          <w:szCs w:val="20"/>
        </w:rPr>
        <w:t xml:space="preserve">B) </w:t>
      </w:r>
      <w:r>
        <w:rPr>
          <w:sz w:val="20"/>
          <w:szCs w:val="20"/>
        </w:rPr>
        <w:t xml:space="preserve">Incorrect — not an autoimmune process.</w:t>
      </w:r>
    </w:p>
    <w:p>
      <w:pPr>
        <w:spacing w:after="40"/>
        <w:ind w:left="360"/>
      </w:pPr>
      <w:r>
        <w:rPr>
          <w:b/>
          <w:bCs/>
          <w:sz w:val="20"/>
          <w:szCs w:val="20"/>
        </w:rPr>
        <w:t xml:space="preserve">C) </w:t>
      </w:r>
      <w:r>
        <w:rPr>
          <w:sz w:val="20"/>
          <w:szCs w:val="20"/>
        </w:rPr>
        <w:t xml:space="preserve">Incorrect — this is nerve regeneration/misdirection, not simple transection requiring grafting.</w:t>
      </w:r>
    </w:p>
    <w:p>
      <w:pPr>
        <w:spacing w:after="40"/>
        <w:ind w:left="360"/>
      </w:pPr>
      <w:r>
        <w:rPr>
          <w:b/>
          <w:bCs/>
          <w:sz w:val="20"/>
          <w:szCs w:val="20"/>
        </w:rPr>
        <w:t xml:space="preserve">D) </w:t>
      </w:r>
      <w:r>
        <w:rPr>
          <w:sz w:val="20"/>
          <w:szCs w:val="20"/>
        </w:rPr>
        <w:t xml:space="preserve">Incorrect — no evidence of recurrent tumor; this is gustatory sweating, a known parotidectomy sequela.</w:t>
      </w:r>
    </w:p>
    <w:p>
      <w:pPr>
        <w:spacing w:after="40"/>
        <w:ind w:left="360"/>
      </w:pPr>
      <w:r>
        <w:rPr>
          <w:b/>
          <w:bCs/>
          <w:sz w:val="20"/>
          <w:szCs w:val="20"/>
        </w:rPr>
        <w:t xml:space="preserve">E) </w:t>
      </w:r>
      <w:r>
        <w:rPr>
          <w:sz w:val="20"/>
          <w:szCs w:val="20"/>
        </w:rPr>
        <w:t xml:space="preserve">Incorrect — not a sympathetic hyperactivity phenomenon; beta-blockers are not the treatment.</w:t>
      </w:r>
    </w:p>
    <w:p>
      <w:pPr>
        <w:spacing w:after="200"/>
      </w:pPr>
      <w:r>
        <w:rPr>
          <w:i/>
          <w:iCs/>
          <w:color w:val="595959"/>
          <w:sz w:val="16"/>
          <w:szCs w:val="16"/>
        </w:rPr>
        <w:t xml:space="preserve">Source: StatPearls — Frey Syndrome — https://www.ncbi.nlm.nih.gov/books/NBK562247/</w:t>
      </w:r>
    </w:p>
    <w:p>
      <w:pPr>
        <w:spacing w:after="120" w:before="300"/>
      </w:pPr>
      <w:r>
        <w:rPr>
          <w:b/>
          <w:bCs/>
          <w:sz w:val="24"/>
          <w:szCs w:val="24"/>
        </w:rPr>
        <w:t xml:space="preserve">8. </w:t>
      </w:r>
      <w:r>
        <w:rPr>
          <w:sz w:val="24"/>
          <w:szCs w:val="24"/>
        </w:rPr>
        <w:t xml:space="preserve">A 52-year-old woman presents with a daily feeling of dry mouth and dry, gritty eyes persisting for the past eight months. She frequently sips water to help swallow dry foods and struggles to wear contact lenses. Unstimulated salivary flow testing shows a rate of 0.05 mL/min.</w:t>
      </w:r>
    </w:p>
    <w:p>
      <w:pPr>
        <w:spacing w:after="120"/>
      </w:pPr>
      <w:r>
        <w:rPr>
          <w:i/>
          <w:iCs/>
          <w:sz w:val="24"/>
          <w:szCs w:val="24"/>
        </w:rPr>
        <w:t xml:space="preserve">What does her salivary flow result indicate, and what investigation is the gold standard for confirming the diagnosis?</w:t>
      </w:r>
    </w:p>
    <w:p>
      <w:pPr>
        <w:spacing w:after="60"/>
        <w:ind w:left="360"/>
      </w:pPr>
      <w:r>
        <w:rPr>
          <w:b/>
          <w:bCs/>
          <w:sz w:val="22"/>
          <w:szCs w:val="22"/>
        </w:rPr>
        <w:t xml:space="preserve">A) </w:t>
      </w:r>
      <w:r>
        <w:rPr>
          <w:sz w:val="22"/>
          <w:szCs w:val="22"/>
        </w:rPr>
        <w:t xml:space="preserve">Normal salivary hypofunction; no further testing required</w:t>
      </w:r>
    </w:p>
    <w:p>
      <w:pPr>
        <w:spacing w:after="60"/>
        <w:ind w:left="360"/>
      </w:pPr>
      <w:r>
        <w:rPr>
          <w:b/>
          <w:bCs/>
          <w:sz w:val="22"/>
          <w:szCs w:val="22"/>
        </w:rPr>
        <w:t xml:space="preserve">B) </w:t>
      </w:r>
      <w:r>
        <w:rPr>
          <w:sz w:val="22"/>
          <w:szCs w:val="22"/>
        </w:rPr>
        <w:t xml:space="preserve">Salivary hyperfunction; salivary gland scintigraphy</w:t>
      </w:r>
    </w:p>
    <w:p>
      <w:pPr>
        <w:spacing w:after="60"/>
        <w:ind w:left="360"/>
      </w:pPr>
      <w:r>
        <w:rPr>
          <w:b/>
          <w:bCs/>
          <w:sz w:val="22"/>
          <w:szCs w:val="22"/>
        </w:rPr>
        <w:t xml:space="preserve">C) </w:t>
      </w:r>
      <w:r>
        <w:rPr>
          <w:sz w:val="22"/>
          <w:szCs w:val="22"/>
        </w:rPr>
        <w:t xml:space="preserve">Salivary hypofunction (≤0.1 mL/min); minor salivary gland (labial) biopsy</w:t>
      </w:r>
    </w:p>
    <w:p>
      <w:pPr>
        <w:spacing w:after="60"/>
        <w:ind w:left="360"/>
      </w:pPr>
      <w:r>
        <w:rPr>
          <w:b/>
          <w:bCs/>
          <w:sz w:val="22"/>
          <w:szCs w:val="22"/>
        </w:rPr>
        <w:t xml:space="preserve">D) </w:t>
      </w:r>
      <w:r>
        <w:rPr>
          <w:sz w:val="22"/>
          <w:szCs w:val="22"/>
        </w:rPr>
        <w:t xml:space="preserve">Salivary hypofunction; random blood glucose only</w:t>
      </w:r>
    </w:p>
    <w:p>
      <w:pPr>
        <w:spacing w:after="60"/>
        <w:ind w:left="360"/>
      </w:pPr>
      <w:r>
        <w:rPr>
          <w:b/>
          <w:bCs/>
          <w:sz w:val="22"/>
          <w:szCs w:val="22"/>
        </w:rPr>
        <w:t xml:space="preserve">E) </w:t>
      </w:r>
      <w:r>
        <w:rPr>
          <w:sz w:val="22"/>
          <w:szCs w:val="22"/>
        </w:rPr>
        <w:t xml:space="preserve">Salivary hypofunction; sialography alone is diagnostic</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0.05 mL/min is below the 0.1 mL/min threshold, indicating hypofunction, not normal.</w:t>
      </w:r>
    </w:p>
    <w:p>
      <w:pPr>
        <w:spacing w:after="40"/>
        <w:ind w:left="360"/>
      </w:pPr>
      <w:r>
        <w:rPr>
          <w:b/>
          <w:bCs/>
          <w:sz w:val="20"/>
          <w:szCs w:val="20"/>
        </w:rPr>
        <w:t xml:space="preserve">B) </w:t>
      </w:r>
      <w:r>
        <w:rPr>
          <w:sz w:val="20"/>
          <w:szCs w:val="20"/>
        </w:rPr>
        <w:t xml:space="preserve">Incorrect — this is hypofunction (reduced flow), not hyperfunction.</w:t>
      </w:r>
    </w:p>
    <w:p>
      <w:pPr>
        <w:spacing w:after="40"/>
        <w:ind w:left="360"/>
      </w:pPr>
      <w:r>
        <w:rPr>
          <w:b/>
          <w:bCs/>
          <w:sz w:val="20"/>
          <w:szCs w:val="20"/>
        </w:rPr>
        <w:t xml:space="preserve">C) </w:t>
      </w:r>
      <w:r>
        <w:rPr>
          <w:sz w:val="20"/>
          <w:szCs w:val="20"/>
        </w:rPr>
        <w:t xml:space="preserve">Correct — a flow rate ≤0.1 mL/min meets the ACR/EULAR salivary hypofunction criterion, and minor salivary gland (labial) biopsy showing a focus score with lymphocytic aggregates is the gold standard for confirming Sjögren syndrome.</w:t>
      </w:r>
    </w:p>
    <w:p>
      <w:pPr>
        <w:spacing w:after="40"/>
        <w:ind w:left="360"/>
      </w:pPr>
      <w:r>
        <w:rPr>
          <w:b/>
          <w:bCs/>
          <w:sz w:val="20"/>
          <w:szCs w:val="20"/>
        </w:rPr>
        <w:t xml:space="preserve">D) </w:t>
      </w:r>
      <w:r>
        <w:rPr>
          <w:sz w:val="20"/>
          <w:szCs w:val="20"/>
        </w:rPr>
        <w:t xml:space="preserve">Incorrect — blood glucose would investigate diabetes, not Sjögren syndrome.</w:t>
      </w:r>
    </w:p>
    <w:p>
      <w:pPr>
        <w:spacing w:after="40"/>
        <w:ind w:left="360"/>
      </w:pPr>
      <w:r>
        <w:rPr>
          <w:b/>
          <w:bCs/>
          <w:sz w:val="20"/>
          <w:szCs w:val="20"/>
        </w:rPr>
        <w:t xml:space="preserve">E) </w:t>
      </w:r>
      <w:r>
        <w:rPr>
          <w:sz w:val="20"/>
          <w:szCs w:val="20"/>
        </w:rPr>
        <w:t xml:space="preserve">Incorrect — sialography is not the diagnostic gold standard for Sjögren syndrome.</w:t>
      </w:r>
    </w:p>
    <w:p>
      <w:pPr>
        <w:spacing w:after="200"/>
      </w:pPr>
      <w:r>
        <w:rPr>
          <w:i/>
          <w:iCs/>
          <w:color w:val="595959"/>
          <w:sz w:val="16"/>
          <w:szCs w:val="16"/>
        </w:rPr>
        <w:t xml:space="preserve">Source: PMC — Diagnostic Utility of Minor Salivary Gland Biopsy in Sjögren Syndrome — https://www.ncbi.nlm.nih.gov/pmc/articles/PMC10613453/</w:t>
      </w:r>
    </w:p>
    <w:p>
      <w:pPr>
        <w:spacing w:after="120" w:before="300"/>
      </w:pPr>
      <w:r>
        <w:rPr>
          <w:b/>
          <w:bCs/>
          <w:sz w:val="24"/>
          <w:szCs w:val="24"/>
        </w:rPr>
        <w:t xml:space="preserve">9. </w:t>
      </w:r>
      <w:r>
        <w:rPr>
          <w:sz w:val="24"/>
          <w:szCs w:val="24"/>
        </w:rPr>
        <w:t xml:space="preserve">A 22-year-old woman presents with a soft, bluish, painless swelling in the floor of her mouth beside the tongue. Over the past few weeks, a similar soft swelling has also appeared in her upper neck, without associated fever or difficulty breathing.</w:t>
      </w:r>
    </w:p>
    <w:p>
      <w:pPr>
        <w:spacing w:after="120"/>
      </w:pPr>
      <w:r>
        <w:rPr>
          <w:i/>
          <w:iCs/>
          <w:sz w:val="24"/>
          <w:szCs w:val="24"/>
        </w:rPr>
        <w:t xml:space="preserve">What is the diagnosis, and what is the treatment of choice to prevent recurrence?</w:t>
      </w:r>
    </w:p>
    <w:p>
      <w:pPr>
        <w:spacing w:after="60"/>
        <w:ind w:left="360"/>
      </w:pPr>
      <w:r>
        <w:rPr>
          <w:b/>
          <w:bCs/>
          <w:sz w:val="22"/>
          <w:szCs w:val="22"/>
        </w:rPr>
        <w:t xml:space="preserve">A) </w:t>
      </w:r>
      <w:r>
        <w:rPr>
          <w:sz w:val="22"/>
          <w:szCs w:val="22"/>
        </w:rPr>
        <w:t xml:space="preserve">Branchial cyst; complete tract excision</w:t>
      </w:r>
    </w:p>
    <w:p>
      <w:pPr>
        <w:spacing w:after="60"/>
        <w:ind w:left="360"/>
      </w:pPr>
      <w:r>
        <w:rPr>
          <w:b/>
          <w:bCs/>
          <w:sz w:val="22"/>
          <w:szCs w:val="22"/>
        </w:rPr>
        <w:t xml:space="preserve">B) </w:t>
      </w:r>
      <w:r>
        <w:rPr>
          <w:sz w:val="22"/>
          <w:szCs w:val="22"/>
        </w:rPr>
        <w:t xml:space="preserve">Dermoid cyst; enucleation</w:t>
      </w:r>
    </w:p>
    <w:p>
      <w:pPr>
        <w:spacing w:after="60"/>
        <w:ind w:left="360"/>
      </w:pPr>
      <w:r>
        <w:rPr>
          <w:b/>
          <w:bCs/>
          <w:sz w:val="22"/>
          <w:szCs w:val="22"/>
        </w:rPr>
        <w:t xml:space="preserve">C) </w:t>
      </w:r>
      <w:r>
        <w:rPr>
          <w:sz w:val="22"/>
          <w:szCs w:val="22"/>
        </w:rPr>
        <w:t xml:space="preserve">Plunging ranula; excision of the sublingual gland</w:t>
      </w:r>
    </w:p>
    <w:p>
      <w:pPr>
        <w:spacing w:after="60"/>
        <w:ind w:left="360"/>
      </w:pPr>
      <w:r>
        <w:rPr>
          <w:b/>
          <w:bCs/>
          <w:sz w:val="22"/>
          <w:szCs w:val="22"/>
        </w:rPr>
        <w:t xml:space="preserve">D) </w:t>
      </w:r>
      <w:r>
        <w:rPr>
          <w:sz w:val="22"/>
          <w:szCs w:val="22"/>
        </w:rPr>
        <w:t xml:space="preserve">Thyroglossal cyst; Sistrunk procedure</w:t>
      </w:r>
    </w:p>
    <w:p>
      <w:pPr>
        <w:spacing w:after="60"/>
        <w:ind w:left="360"/>
      </w:pPr>
      <w:r>
        <w:rPr>
          <w:b/>
          <w:bCs/>
          <w:sz w:val="22"/>
          <w:szCs w:val="22"/>
        </w:rPr>
        <w:t xml:space="preserve">E) </w:t>
      </w:r>
      <w:r>
        <w:rPr>
          <w:sz w:val="22"/>
          <w:szCs w:val="22"/>
        </w:rPr>
        <w:t xml:space="preserve">Warthin tumor; superficial parotidectomy</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branchial cysts present as lateral neck swellings, not with an intraoral component.</w:t>
      </w:r>
    </w:p>
    <w:p>
      <w:pPr>
        <w:spacing w:after="40"/>
        <w:ind w:left="360"/>
      </w:pPr>
      <w:r>
        <w:rPr>
          <w:b/>
          <w:bCs/>
          <w:sz w:val="20"/>
          <w:szCs w:val="20"/>
        </w:rPr>
        <w:t xml:space="preserve">B) </w:t>
      </w:r>
      <w:r>
        <w:rPr>
          <w:sz w:val="20"/>
          <w:szCs w:val="20"/>
        </w:rPr>
        <w:t xml:space="preserve">Incorrect — dermoid cysts are midline, not typically linked to an intraoral floor-of-mouth cyst.</w:t>
      </w:r>
    </w:p>
    <w:p>
      <w:pPr>
        <w:spacing w:after="40"/>
        <w:ind w:left="360"/>
      </w:pPr>
      <w:r>
        <w:rPr>
          <w:b/>
          <w:bCs/>
          <w:sz w:val="20"/>
          <w:szCs w:val="20"/>
        </w:rPr>
        <w:t xml:space="preserve">C) </w:t>
      </w:r>
      <w:r>
        <w:rPr>
          <w:sz w:val="20"/>
          <w:szCs w:val="20"/>
        </w:rPr>
        <w:t xml:space="preserve">Correct — a floor-of-mouth cystic swelling extending into the neck through the mylohyoid muscle is a plunging ranula, a mucous extravasation cyst of the sublingual gland; complete excision of the sublingual gland (with or without the ranula) is the treatment of choice to prevent recurrence.</w:t>
      </w:r>
    </w:p>
    <w:p>
      <w:pPr>
        <w:spacing w:after="40"/>
        <w:ind w:left="360"/>
      </w:pPr>
      <w:r>
        <w:rPr>
          <w:b/>
          <w:bCs/>
          <w:sz w:val="20"/>
          <w:szCs w:val="20"/>
        </w:rPr>
        <w:t xml:space="preserve">D) </w:t>
      </w:r>
      <w:r>
        <w:rPr>
          <w:sz w:val="20"/>
          <w:szCs w:val="20"/>
        </w:rPr>
        <w:t xml:space="preserve">Incorrect — thyroglossal cysts are midline neck masses that move with tongue protrusion, without an intraoral component.</w:t>
      </w:r>
    </w:p>
    <w:p>
      <w:pPr>
        <w:spacing w:after="40"/>
        <w:ind w:left="360"/>
      </w:pPr>
      <w:r>
        <w:rPr>
          <w:b/>
          <w:bCs/>
          <w:sz w:val="20"/>
          <w:szCs w:val="20"/>
        </w:rPr>
        <w:t xml:space="preserve">E) </w:t>
      </w:r>
      <w:r>
        <w:rPr>
          <w:sz w:val="20"/>
          <w:szCs w:val="20"/>
        </w:rPr>
        <w:t xml:space="preserve">Incorrect — Warthin tumor is a parotid tumor, not a floor-of-mouth/neck cystic swelling.</w:t>
      </w:r>
    </w:p>
    <w:p>
      <w:pPr>
        <w:spacing w:after="200"/>
      </w:pPr>
      <w:r>
        <w:rPr>
          <w:i/>
          <w:iCs/>
          <w:color w:val="595959"/>
          <w:sz w:val="16"/>
          <w:szCs w:val="16"/>
        </w:rPr>
        <w:t xml:space="preserve">Source: PMC — Clinical Diagnosis and Management of Plunging Ranula — https://pmc.ncbi.nlm.nih.gov/articles/PMC13067052/</w:t>
      </w:r>
    </w:p>
    <w:p>
      <w:pPr>
        <w:spacing w:after="120" w:before="300"/>
      </w:pPr>
      <w:r>
        <w:rPr>
          <w:b/>
          <w:bCs/>
          <w:sz w:val="24"/>
          <w:szCs w:val="24"/>
        </w:rPr>
        <w:t xml:space="preserve">10. </w:t>
      </w:r>
      <w:r>
        <w:rPr>
          <w:sz w:val="24"/>
          <w:szCs w:val="24"/>
        </w:rPr>
        <w:t xml:space="preserve">A 38-year-old woman with a long-standing history of bulimia nervosa presents with painless, soft, bilateral swelling of both parotid glands, noticed gradually over several months. There is no fever, tenderness, or purulent discharge, and examination of the ducts shows no stones or overt inflammation.</w:t>
      </w:r>
    </w:p>
    <w:p>
      <w:pPr>
        <w:spacing w:after="120"/>
      </w:pPr>
      <w:r>
        <w:rPr>
          <w:i/>
          <w:iCs/>
          <w:sz w:val="24"/>
          <w:szCs w:val="24"/>
        </w:rPr>
        <w:t xml:space="preserve">What is the most likely diagnosis underlying her parotid swelling?</w:t>
      </w:r>
    </w:p>
    <w:p>
      <w:pPr>
        <w:spacing w:after="60"/>
        <w:ind w:left="360"/>
      </w:pPr>
      <w:r>
        <w:rPr>
          <w:b/>
          <w:bCs/>
          <w:sz w:val="22"/>
          <w:szCs w:val="22"/>
        </w:rPr>
        <w:t xml:space="preserve">A) </w:t>
      </w:r>
      <w:r>
        <w:rPr>
          <w:sz w:val="22"/>
          <w:szCs w:val="22"/>
        </w:rPr>
        <w:t xml:space="preserve">Acute suppurative sialadenitis</w:t>
      </w:r>
    </w:p>
    <w:p>
      <w:pPr>
        <w:spacing w:after="60"/>
        <w:ind w:left="360"/>
      </w:pPr>
      <w:r>
        <w:rPr>
          <w:b/>
          <w:bCs/>
          <w:sz w:val="22"/>
          <w:szCs w:val="22"/>
        </w:rPr>
        <w:t xml:space="preserve">B) </w:t>
      </w:r>
      <w:r>
        <w:rPr>
          <w:sz w:val="22"/>
          <w:szCs w:val="22"/>
        </w:rPr>
        <w:t xml:space="preserve">Bilateral Warthin tumors</w:t>
      </w:r>
    </w:p>
    <w:p>
      <w:pPr>
        <w:spacing w:after="60"/>
        <w:ind w:left="360"/>
      </w:pPr>
      <w:r>
        <w:rPr>
          <w:b/>
          <w:bCs/>
          <w:sz w:val="22"/>
          <w:szCs w:val="22"/>
        </w:rPr>
        <w:t xml:space="preserve">C) </w:t>
      </w:r>
      <w:r>
        <w:rPr>
          <w:sz w:val="22"/>
          <w:szCs w:val="22"/>
        </w:rPr>
        <w:t xml:space="preserve">Sialadenosis secondary to her eating disorder</w:t>
      </w:r>
    </w:p>
    <w:p>
      <w:pPr>
        <w:spacing w:after="60"/>
        <w:ind w:left="360"/>
      </w:pPr>
      <w:r>
        <w:rPr>
          <w:b/>
          <w:bCs/>
          <w:sz w:val="22"/>
          <w:szCs w:val="22"/>
        </w:rPr>
        <w:t xml:space="preserve">D) </w:t>
      </w:r>
      <w:r>
        <w:rPr>
          <w:sz w:val="22"/>
          <w:szCs w:val="22"/>
        </w:rPr>
        <w:t xml:space="preserve">Sialolithiasis</w:t>
      </w:r>
    </w:p>
    <w:p>
      <w:pPr>
        <w:spacing w:after="60"/>
        <w:ind w:left="360"/>
      </w:pPr>
      <w:r>
        <w:rPr>
          <w:b/>
          <w:bCs/>
          <w:sz w:val="22"/>
          <w:szCs w:val="22"/>
        </w:rPr>
        <w:t xml:space="preserve">E) </w:t>
      </w:r>
      <w:r>
        <w:rPr>
          <w:sz w:val="22"/>
          <w:szCs w:val="22"/>
        </w:rPr>
        <w:t xml:space="preserve">Sjögren syndrome</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fever, tenderness, or purulence, ruling out acute infective sialadenitis.</w:t>
      </w:r>
    </w:p>
    <w:p>
      <w:pPr>
        <w:spacing w:after="40"/>
        <w:ind w:left="360"/>
      </w:pPr>
      <w:r>
        <w:rPr>
          <w:b/>
          <w:bCs/>
          <w:sz w:val="20"/>
          <w:szCs w:val="20"/>
        </w:rPr>
        <w:t xml:space="preserve">B) </w:t>
      </w:r>
      <w:r>
        <w:rPr>
          <w:sz w:val="20"/>
          <w:szCs w:val="20"/>
        </w:rPr>
        <w:t xml:space="preserve">Incorrect — Warthin tumors are discrete masses, not diffuse soft glandular swelling, and are associated with smoking, not bulimia.</w:t>
      </w:r>
    </w:p>
    <w:p>
      <w:pPr>
        <w:spacing w:after="40"/>
        <w:ind w:left="360"/>
      </w:pPr>
      <w:r>
        <w:rPr>
          <w:b/>
          <w:bCs/>
          <w:sz w:val="20"/>
          <w:szCs w:val="20"/>
        </w:rPr>
        <w:t xml:space="preserve">C) </w:t>
      </w:r>
      <w:r>
        <w:rPr>
          <w:sz w:val="20"/>
          <w:szCs w:val="20"/>
        </w:rPr>
        <w:t xml:space="preserve">Correct — sialadenosis is a non-inflammatory, non-neoplastic, usually bilateral, painless salivary gland enlargement associated with systemic conditions including bulimia, alcoholism, and diabetes.</w:t>
      </w:r>
    </w:p>
    <w:p>
      <w:pPr>
        <w:spacing w:after="40"/>
        <w:ind w:left="360"/>
      </w:pPr>
      <w:r>
        <w:rPr>
          <w:b/>
          <w:bCs/>
          <w:sz w:val="20"/>
          <w:szCs w:val="20"/>
        </w:rPr>
        <w:t xml:space="preserve">D) </w:t>
      </w:r>
      <w:r>
        <w:rPr>
          <w:sz w:val="20"/>
          <w:szCs w:val="20"/>
        </w:rPr>
        <w:t xml:space="preserve">Incorrect — no stones seen; sialolithiasis is usually unilateral and meal-related.</w:t>
      </w:r>
    </w:p>
    <w:p>
      <w:pPr>
        <w:spacing w:after="40"/>
        <w:ind w:left="360"/>
      </w:pPr>
      <w:r>
        <w:rPr>
          <w:b/>
          <w:bCs/>
          <w:sz w:val="20"/>
          <w:szCs w:val="20"/>
        </w:rPr>
        <w:t xml:space="preserve">E) </w:t>
      </w:r>
      <w:r>
        <w:rPr>
          <w:sz w:val="20"/>
          <w:szCs w:val="20"/>
        </w:rPr>
        <w:t xml:space="preserve">Incorrect — Sjögren syndrome typically presents with dry mouth/eyes and glandular hypofunction, not simply painless swelling.</w:t>
      </w:r>
    </w:p>
    <w:p>
      <w:pPr>
        <w:spacing w:after="200"/>
      </w:pPr>
      <w:r>
        <w:rPr>
          <w:i/>
          <w:iCs/>
          <w:color w:val="595959"/>
          <w:sz w:val="16"/>
          <w:szCs w:val="16"/>
        </w:rPr>
        <w:t xml:space="preserve">Source: PMC — Bilateral Parotid Sialadenosis Associated with Bulimia — https://pmc.ncbi.nlm.nih.gov/articles/PMC5878158/</w:t>
      </w:r>
    </w:p>
    <w:p>
      <w:pPr>
        <w:spacing w:after="120" w:before="300"/>
      </w:pPr>
      <w:r>
        <w:rPr>
          <w:b/>
          <w:bCs/>
          <w:sz w:val="24"/>
          <w:szCs w:val="24"/>
        </w:rPr>
        <w:t xml:space="preserve">11. </w:t>
      </w:r>
      <w:r>
        <w:rPr>
          <w:sz w:val="24"/>
          <w:szCs w:val="24"/>
        </w:rPr>
        <w:t xml:space="preserve">A 60-year-old man is found to have a discrete, mobile mass in the tail of his parotid gland. Before planning surgery, the surgical team performs fine needle aspiration cytology (FNAC) to help characterize the lesion and guide the extent of resection.</w:t>
      </w:r>
    </w:p>
    <w:p>
      <w:pPr>
        <w:spacing w:after="120"/>
      </w:pPr>
      <w:r>
        <w:rPr>
          <w:i/>
          <w:iCs/>
          <w:sz w:val="24"/>
          <w:szCs w:val="24"/>
        </w:rPr>
        <w:t xml:space="preserve">Regarding the diagnostic value of FNAC in this context, which statement is most accurate?</w:t>
      </w:r>
    </w:p>
    <w:p>
      <w:pPr>
        <w:spacing w:after="60"/>
        <w:ind w:left="360"/>
      </w:pPr>
      <w:r>
        <w:rPr>
          <w:b/>
          <w:bCs/>
          <w:sz w:val="22"/>
          <w:szCs w:val="22"/>
        </w:rPr>
        <w:t xml:space="preserve">A) </w:t>
      </w:r>
      <w:r>
        <w:rPr>
          <w:sz w:val="22"/>
          <w:szCs w:val="22"/>
        </w:rPr>
        <w:t xml:space="preserve">FNAC has a sensitivity approaching 100% for detecting malignancy, eliminating the need for histopathology</w:t>
      </w:r>
    </w:p>
    <w:p>
      <w:pPr>
        <w:spacing w:after="60"/>
        <w:ind w:left="360"/>
      </w:pPr>
      <w:r>
        <w:rPr>
          <w:b/>
          <w:bCs/>
          <w:sz w:val="22"/>
          <w:szCs w:val="22"/>
        </w:rPr>
        <w:t xml:space="preserve">B) </w:t>
      </w:r>
      <w:r>
        <w:rPr>
          <w:sz w:val="22"/>
          <w:szCs w:val="22"/>
        </w:rPr>
        <w:t xml:space="preserve">FNAC is contraindicated in parotid masses due to a high risk of tumor seeding</w:t>
      </w:r>
    </w:p>
    <w:p>
      <w:pPr>
        <w:spacing w:after="60"/>
        <w:ind w:left="360"/>
      </w:pPr>
      <w:r>
        <w:rPr>
          <w:b/>
          <w:bCs/>
          <w:sz w:val="22"/>
          <w:szCs w:val="22"/>
        </w:rPr>
        <w:t xml:space="preserve">C) </w:t>
      </w:r>
      <w:r>
        <w:rPr>
          <w:sz w:val="22"/>
          <w:szCs w:val="22"/>
        </w:rPr>
        <w:t xml:space="preserve">FNAC is of no clinical value in salivary gland masses and should not be performed</w:t>
      </w:r>
    </w:p>
    <w:p>
      <w:pPr>
        <w:spacing w:after="60"/>
        <w:ind w:left="360"/>
      </w:pPr>
      <w:r>
        <w:rPr>
          <w:b/>
          <w:bCs/>
          <w:sz w:val="22"/>
          <w:szCs w:val="22"/>
        </w:rPr>
        <w:t xml:space="preserve">D) </w:t>
      </w:r>
      <w:r>
        <w:rPr>
          <w:sz w:val="22"/>
          <w:szCs w:val="22"/>
        </w:rPr>
        <w:t xml:space="preserve">FNAC is useful and widely accepted preoperatively, but has known false negatives (e.g., mucoepidermoid carcinoma) and false positives (e.g., pleomorphic adenoma)</w:t>
      </w:r>
    </w:p>
    <w:p>
      <w:pPr>
        <w:spacing w:after="60"/>
        <w:ind w:left="360"/>
      </w:pPr>
      <w:r>
        <w:rPr>
          <w:b/>
          <w:bCs/>
          <w:sz w:val="22"/>
          <w:szCs w:val="22"/>
        </w:rPr>
        <w:t xml:space="preserve">E) </w:t>
      </w:r>
      <w:r>
        <w:rPr>
          <w:sz w:val="22"/>
          <w:szCs w:val="22"/>
        </w:rPr>
        <w:t xml:space="preserve">FNAC requires general anesthesia and inpatient admission</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FNAC sensitivity for malignancy is around 73–80%, not near 100%, so histopathology after excision remains important.</w:t>
      </w:r>
    </w:p>
    <w:p>
      <w:pPr>
        <w:spacing w:after="40"/>
        <w:ind w:left="360"/>
      </w:pPr>
      <w:r>
        <w:rPr>
          <w:b/>
          <w:bCs/>
          <w:sz w:val="20"/>
          <w:szCs w:val="20"/>
        </w:rPr>
        <w:t xml:space="preserve">B) </w:t>
      </w:r>
      <w:r>
        <w:rPr>
          <w:sz w:val="20"/>
          <w:szCs w:val="20"/>
        </w:rPr>
        <w:t xml:space="preserve">Incorrect — FNAC is not contraindicated; tumor seeding risk is not a recognized major concern with fine-needle technique.</w:t>
      </w:r>
    </w:p>
    <w:p>
      <w:pPr>
        <w:spacing w:after="40"/>
        <w:ind w:left="360"/>
      </w:pPr>
      <w:r>
        <w:rPr>
          <w:b/>
          <w:bCs/>
          <w:sz w:val="20"/>
          <w:szCs w:val="20"/>
        </w:rPr>
        <w:t xml:space="preserve">C) </w:t>
      </w:r>
      <w:r>
        <w:rPr>
          <w:sz w:val="20"/>
          <w:szCs w:val="20"/>
        </w:rPr>
        <w:t xml:space="preserve">Incorrect — FNAC is widely accepted as a valuable preoperative diagnostic test for parotid lesions.</w:t>
      </w:r>
    </w:p>
    <w:p>
      <w:pPr>
        <w:spacing w:after="40"/>
        <w:ind w:left="360"/>
      </w:pPr>
      <w:r>
        <w:rPr>
          <w:b/>
          <w:bCs/>
          <w:sz w:val="20"/>
          <w:szCs w:val="20"/>
        </w:rPr>
        <w:t xml:space="preserve">D) </w:t>
      </w:r>
      <w:r>
        <w:rPr>
          <w:sz w:val="20"/>
          <w:szCs w:val="20"/>
        </w:rPr>
        <w:t xml:space="preserve">Correct — FNAC is accurate and useful (about 95% overall accuracy) but has recognized false negatives (e.g., mucoepidermoid, acinic cell carcinoma) and false positives (e.g., pleomorphic adenoma, normal tissue).</w:t>
      </w:r>
    </w:p>
    <w:p>
      <w:pPr>
        <w:spacing w:after="40"/>
        <w:ind w:left="360"/>
      </w:pPr>
      <w:r>
        <w:rPr>
          <w:b/>
          <w:bCs/>
          <w:sz w:val="20"/>
          <w:szCs w:val="20"/>
        </w:rPr>
        <w:t xml:space="preserve">E) </w:t>
      </w:r>
      <w:r>
        <w:rPr>
          <w:sz w:val="20"/>
          <w:szCs w:val="20"/>
        </w:rPr>
        <w:t xml:space="preserve">Incorrect — FNAC is a simple outpatient procedure under local anesthesia, not requiring GA/admission.</w:t>
      </w:r>
    </w:p>
    <w:p>
      <w:pPr>
        <w:spacing w:after="200"/>
      </w:pPr>
      <w:r>
        <w:rPr>
          <w:i/>
          <w:iCs/>
          <w:color w:val="595959"/>
          <w:sz w:val="16"/>
          <w:szCs w:val="16"/>
        </w:rPr>
        <w:t xml:space="preserve">Source: PMC — Accuracy of FNAC for Parotid Gland Masses — https://www.ncbi.nlm.nih.gov/pmc/articles/PMC5161254/</w:t>
      </w:r>
    </w:p>
    <w:p>
      <w:pPr>
        <w:spacing w:after="120" w:before="300"/>
      </w:pPr>
      <w:r>
        <w:rPr>
          <w:b/>
          <w:bCs/>
          <w:sz w:val="24"/>
          <w:szCs w:val="24"/>
        </w:rPr>
        <w:t xml:space="preserve">12. </w:t>
      </w:r>
      <w:r>
        <w:rPr>
          <w:sz w:val="24"/>
          <w:szCs w:val="24"/>
        </w:rPr>
        <w:t xml:space="preserve">During a superficial parotidectomy for a tumor in the inferior pole of the gland, the surgeon carefully identifies and preserves the main trunk of the facial nerve. Postoperatively, the patient has drooping of the corner of the mouth on the operated side but normal eye closure and forehead movement.</w:t>
      </w:r>
    </w:p>
    <w:p>
      <w:pPr>
        <w:spacing w:after="120"/>
      </w:pPr>
      <w:r>
        <w:rPr>
          <w:i/>
          <w:iCs/>
          <w:sz w:val="24"/>
          <w:szCs w:val="24"/>
        </w:rPr>
        <w:t xml:space="preserve">Which branch of the facial nerve has most likely been injured, consistent with both the tumor location and clinical findings?</w:t>
      </w:r>
    </w:p>
    <w:p>
      <w:pPr>
        <w:spacing w:after="60"/>
        <w:ind w:left="360"/>
      </w:pPr>
      <w:r>
        <w:rPr>
          <w:b/>
          <w:bCs/>
          <w:sz w:val="22"/>
          <w:szCs w:val="22"/>
        </w:rPr>
        <w:t xml:space="preserve">A) </w:t>
      </w:r>
      <w:r>
        <w:rPr>
          <w:sz w:val="22"/>
          <w:szCs w:val="22"/>
        </w:rPr>
        <w:t xml:space="preserve">Buccal branch</w:t>
      </w:r>
    </w:p>
    <w:p>
      <w:pPr>
        <w:spacing w:after="60"/>
        <w:ind w:left="360"/>
      </w:pPr>
      <w:r>
        <w:rPr>
          <w:b/>
          <w:bCs/>
          <w:sz w:val="22"/>
          <w:szCs w:val="22"/>
        </w:rPr>
        <w:t xml:space="preserve">B) </w:t>
      </w:r>
      <w:r>
        <w:rPr>
          <w:sz w:val="22"/>
          <w:szCs w:val="22"/>
        </w:rPr>
        <w:t xml:space="preserve">Cervical branch</w:t>
      </w:r>
    </w:p>
    <w:p>
      <w:pPr>
        <w:spacing w:after="60"/>
        <w:ind w:left="360"/>
      </w:pPr>
      <w:r>
        <w:rPr>
          <w:b/>
          <w:bCs/>
          <w:sz w:val="22"/>
          <w:szCs w:val="22"/>
        </w:rPr>
        <w:t xml:space="preserve">C) </w:t>
      </w:r>
      <w:r>
        <w:rPr>
          <w:sz w:val="22"/>
          <w:szCs w:val="22"/>
        </w:rPr>
        <w:t xml:space="preserve">Marginal mandibular branch</w:t>
      </w:r>
    </w:p>
    <w:p>
      <w:pPr>
        <w:spacing w:after="60"/>
        <w:ind w:left="360"/>
      </w:pPr>
      <w:r>
        <w:rPr>
          <w:b/>
          <w:bCs/>
          <w:sz w:val="22"/>
          <w:szCs w:val="22"/>
        </w:rPr>
        <w:t xml:space="preserve">D) </w:t>
      </w:r>
      <w:r>
        <w:rPr>
          <w:sz w:val="22"/>
          <w:szCs w:val="22"/>
        </w:rPr>
        <w:t xml:space="preserve">Temporal branch</w:t>
      </w:r>
    </w:p>
    <w:p>
      <w:pPr>
        <w:spacing w:after="60"/>
        <w:ind w:left="360"/>
      </w:pPr>
      <w:r>
        <w:rPr>
          <w:b/>
          <w:bCs/>
          <w:sz w:val="22"/>
          <w:szCs w:val="22"/>
        </w:rPr>
        <w:t xml:space="preserve">E) </w:t>
      </w:r>
      <w:r>
        <w:rPr>
          <w:sz w:val="22"/>
          <w:szCs w:val="22"/>
        </w:rPr>
        <w:t xml:space="preserve">Zygomatic branch</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buccal branch injury affects the upper lip/cheek movement, not primarily the mouth corner drooping described.</w:t>
      </w:r>
    </w:p>
    <w:p>
      <w:pPr>
        <w:spacing w:after="40"/>
        <w:ind w:left="360"/>
      </w:pPr>
      <w:r>
        <w:rPr>
          <w:b/>
          <w:bCs/>
          <w:sz w:val="20"/>
          <w:szCs w:val="20"/>
        </w:rPr>
        <w:t xml:space="preserve">B) </w:t>
      </w:r>
      <w:r>
        <w:rPr>
          <w:sz w:val="20"/>
          <w:szCs w:val="20"/>
        </w:rPr>
        <w:t xml:space="preserve">Incorrect — cervical branch injury is usually of minimal cosmetic consequence.</w:t>
      </w:r>
    </w:p>
    <w:p>
      <w:pPr>
        <w:spacing w:after="40"/>
        <w:ind w:left="360"/>
      </w:pPr>
      <w:r>
        <w:rPr>
          <w:b/>
          <w:bCs/>
          <w:sz w:val="20"/>
          <w:szCs w:val="20"/>
        </w:rPr>
        <w:t xml:space="preserve">C) </w:t>
      </w:r>
      <w:r>
        <w:rPr>
          <w:sz w:val="20"/>
          <w:szCs w:val="20"/>
        </w:rPr>
        <w:t xml:space="preserve">Correct — the marginal mandibular branch, which supplies the depressor muscles of the lower lip and mouth corner, is the branch most at risk during parotidectomy — especially for lesions in the inferior/tail region — and its injury causes lower lip/mouth corner drooping, with sparing of eye closure and forehead movement.</w:t>
      </w:r>
    </w:p>
    <w:p>
      <w:pPr>
        <w:spacing w:after="40"/>
        <w:ind w:left="360"/>
      </w:pPr>
      <w:r>
        <w:rPr>
          <w:b/>
          <w:bCs/>
          <w:sz w:val="20"/>
          <w:szCs w:val="20"/>
        </w:rPr>
        <w:t xml:space="preserve">D) </w:t>
      </w:r>
      <w:r>
        <w:rPr>
          <w:sz w:val="20"/>
          <w:szCs w:val="20"/>
        </w:rPr>
        <w:t xml:space="preserve">Incorrect — temporal branch injury would affect forehead movement, which is normal here.</w:t>
      </w:r>
    </w:p>
    <w:p>
      <w:pPr>
        <w:spacing w:after="40"/>
        <w:ind w:left="360"/>
      </w:pPr>
      <w:r>
        <w:rPr>
          <w:b/>
          <w:bCs/>
          <w:sz w:val="20"/>
          <w:szCs w:val="20"/>
        </w:rPr>
        <w:t xml:space="preserve">E) </w:t>
      </w:r>
      <w:r>
        <w:rPr>
          <w:sz w:val="20"/>
          <w:szCs w:val="20"/>
        </w:rPr>
        <w:t xml:space="preserve">Incorrect — zygomatic branch injury would affect eye closure, which is normal here.</w:t>
      </w:r>
    </w:p>
    <w:p>
      <w:pPr>
        <w:spacing w:after="200"/>
      </w:pPr>
      <w:r>
        <w:rPr>
          <w:i/>
          <w:iCs/>
          <w:color w:val="595959"/>
          <w:sz w:val="16"/>
          <w:szCs w:val="16"/>
        </w:rPr>
        <w:t xml:space="preserve">Source: StatPearls — Parotidectomy — https://www.ncbi.nlm.nih.gov/books/NBK557651/</w:t>
      </w:r>
    </w:p>
    <w:p>
      <w:pPr>
        <w:spacing w:after="120" w:before="300"/>
      </w:pPr>
      <w:r>
        <w:rPr>
          <w:b/>
          <w:bCs/>
          <w:sz w:val="24"/>
          <w:szCs w:val="24"/>
        </w:rPr>
        <w:t xml:space="preserve">13. </w:t>
      </w:r>
      <w:r>
        <w:rPr>
          <w:sz w:val="24"/>
          <w:szCs w:val="24"/>
        </w:rPr>
        <w:t xml:space="preserve">A patient undergoes excision of the submandibular gland for chronic sialadenitis via a transcervical approach. Postoperatively, she reports difficulty moving her tongue to one side and notices her tongue deviates toward the operated side on protrusion, though sensation and taste remain normal.</w:t>
      </w:r>
    </w:p>
    <w:p>
      <w:pPr>
        <w:spacing w:after="120"/>
      </w:pPr>
      <w:r>
        <w:rPr>
          <w:i/>
          <w:iCs/>
          <w:sz w:val="24"/>
          <w:szCs w:val="24"/>
        </w:rPr>
        <w:t xml:space="preserve">Which nerve has most likely been injured, given tongue deviation without sensory or taste loss?</w:t>
      </w:r>
    </w:p>
    <w:p>
      <w:pPr>
        <w:spacing w:after="60"/>
        <w:ind w:left="360"/>
      </w:pPr>
      <w:r>
        <w:rPr>
          <w:b/>
          <w:bCs/>
          <w:sz w:val="22"/>
          <w:szCs w:val="22"/>
        </w:rPr>
        <w:t xml:space="preserve">A) </w:t>
      </w:r>
      <w:r>
        <w:rPr>
          <w:sz w:val="22"/>
          <w:szCs w:val="22"/>
        </w:rPr>
        <w:t xml:space="preserve">Facial nerve (marginal mandibular branch)</w:t>
      </w:r>
    </w:p>
    <w:p>
      <w:pPr>
        <w:spacing w:after="60"/>
        <w:ind w:left="360"/>
      </w:pPr>
      <w:r>
        <w:rPr>
          <w:b/>
          <w:bCs/>
          <w:sz w:val="22"/>
          <w:szCs w:val="22"/>
        </w:rPr>
        <w:t xml:space="preserve">B) </w:t>
      </w:r>
      <w:r>
        <w:rPr>
          <w:sz w:val="22"/>
          <w:szCs w:val="22"/>
        </w:rPr>
        <w:t xml:space="preserve">Glossopharyngeal nerve</w:t>
      </w:r>
    </w:p>
    <w:p>
      <w:pPr>
        <w:spacing w:after="60"/>
        <w:ind w:left="360"/>
      </w:pPr>
      <w:r>
        <w:rPr>
          <w:b/>
          <w:bCs/>
          <w:sz w:val="22"/>
          <w:szCs w:val="22"/>
        </w:rPr>
        <w:t xml:space="preserve">C) </w:t>
      </w:r>
      <w:r>
        <w:rPr>
          <w:sz w:val="22"/>
          <w:szCs w:val="22"/>
        </w:rPr>
        <w:t xml:space="preserve">Hypoglossal nerve</w:t>
      </w:r>
    </w:p>
    <w:p>
      <w:pPr>
        <w:spacing w:after="60"/>
        <w:ind w:left="360"/>
      </w:pPr>
      <w:r>
        <w:rPr>
          <w:b/>
          <w:bCs/>
          <w:sz w:val="22"/>
          <w:szCs w:val="22"/>
        </w:rPr>
        <w:t xml:space="preserve">D) </w:t>
      </w:r>
      <w:r>
        <w:rPr>
          <w:sz w:val="22"/>
          <w:szCs w:val="22"/>
        </w:rPr>
        <w:t xml:space="preserve">Lingual nerve</w:t>
      </w:r>
    </w:p>
    <w:p>
      <w:pPr>
        <w:spacing w:after="60"/>
        <w:ind w:left="360"/>
      </w:pPr>
      <w:r>
        <w:rPr>
          <w:b/>
          <w:bCs/>
          <w:sz w:val="22"/>
          <w:szCs w:val="22"/>
        </w:rPr>
        <w:t xml:space="preserve">E) </w:t>
      </w:r>
      <w:r>
        <w:rPr>
          <w:sz w:val="22"/>
          <w:szCs w:val="22"/>
        </w:rPr>
        <w:t xml:space="preserve">Vagus nerve</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marginal mandibular branch injury causes lower lip weakness, not tongue deviation.</w:t>
      </w:r>
    </w:p>
    <w:p>
      <w:pPr>
        <w:spacing w:after="40"/>
        <w:ind w:left="360"/>
      </w:pPr>
      <w:r>
        <w:rPr>
          <w:b/>
          <w:bCs/>
          <w:sz w:val="20"/>
          <w:szCs w:val="20"/>
        </w:rPr>
        <w:t xml:space="preserve">B) </w:t>
      </w:r>
      <w:r>
        <w:rPr>
          <w:sz w:val="20"/>
          <w:szCs w:val="20"/>
        </w:rPr>
        <w:t xml:space="preserve">Incorrect — glossopharyngeal injury would affect posterior tongue sensation/taste and pharyngeal function, not motor tongue deviation.</w:t>
      </w:r>
    </w:p>
    <w:p>
      <w:pPr>
        <w:spacing w:after="40"/>
        <w:ind w:left="360"/>
      </w:pPr>
      <w:r>
        <w:rPr>
          <w:b/>
          <w:bCs/>
          <w:sz w:val="20"/>
          <w:szCs w:val="20"/>
        </w:rPr>
        <w:t xml:space="preserve">C) </w:t>
      </w:r>
      <w:r>
        <w:rPr>
          <w:sz w:val="20"/>
          <w:szCs w:val="20"/>
        </w:rPr>
        <w:t xml:space="preserve">Correct — the hypoglossal nerve supplies the intrinsic and extrinsic tongue muscles; its injury causes tongue deviation toward the affected side on protrusion, without sensory or taste change, since it is a purely motor nerve.</w:t>
      </w:r>
    </w:p>
    <w:p>
      <w:pPr>
        <w:spacing w:after="40"/>
        <w:ind w:left="360"/>
      </w:pPr>
      <w:r>
        <w:rPr>
          <w:b/>
          <w:bCs/>
          <w:sz w:val="20"/>
          <w:szCs w:val="20"/>
        </w:rPr>
        <w:t xml:space="preserve">D) </w:t>
      </w:r>
      <w:r>
        <w:rPr>
          <w:sz w:val="20"/>
          <w:szCs w:val="20"/>
        </w:rPr>
        <w:t xml:space="preserve">Incorrect — lingual nerve injury causes loss of sensation and taste to the anterior two-thirds of the tongue, without motor deviation — the opposite of what's described.</w:t>
      </w:r>
    </w:p>
    <w:p>
      <w:pPr>
        <w:spacing w:after="40"/>
        <w:ind w:left="360"/>
      </w:pPr>
      <w:r>
        <w:rPr>
          <w:b/>
          <w:bCs/>
          <w:sz w:val="20"/>
          <w:szCs w:val="20"/>
        </w:rPr>
        <w:t xml:space="preserve">E) </w:t>
      </w:r>
      <w:r>
        <w:rPr>
          <w:sz w:val="20"/>
          <w:szCs w:val="20"/>
        </w:rPr>
        <w:t xml:space="preserve">Incorrect — vagus nerve injury would cause voice/swallowing problems, not isolated tongue deviation.</w:t>
      </w:r>
    </w:p>
    <w:p>
      <w:pPr>
        <w:spacing w:after="200"/>
      </w:pPr>
      <w:r>
        <w:rPr>
          <w:i/>
          <w:iCs/>
          <w:color w:val="595959"/>
          <w:sz w:val="16"/>
          <w:szCs w:val="16"/>
        </w:rPr>
        <w:t xml:space="preserve">Source: StatPearls — Submandibular Salivary Gland Excision — https://www.ncbi.nlm.nih.gov/books/NBK568740/</w:t>
      </w:r>
    </w:p>
    <w:p>
      <w:pPr>
        <w:spacing w:after="120" w:before="300"/>
      </w:pPr>
      <w:r>
        <w:rPr>
          <w:b/>
          <w:bCs/>
          <w:sz w:val="24"/>
          <w:szCs w:val="24"/>
        </w:rPr>
        <w:t xml:space="preserve">14. </w:t>
      </w:r>
      <w:r>
        <w:rPr>
          <w:sz w:val="24"/>
          <w:szCs w:val="24"/>
        </w:rPr>
        <w:t xml:space="preserve">A 9-year-old unvaccinated boy develops fever, headache, and malaise, followed within two days by painful swelling in front of and below both ears, obscuring the angle of the mandible on each side. His parents report that a classmate had a very similar illness recently.</w:t>
      </w:r>
    </w:p>
    <w:p>
      <w:pPr>
        <w:spacing w:after="120"/>
      </w:pPr>
      <w:r>
        <w:rPr>
          <w:i/>
          <w:iCs/>
          <w:sz w:val="24"/>
          <w:szCs w:val="24"/>
        </w:rPr>
        <w:t xml:space="preserve">If this child later develops testicular pain and swelling, which complication of this illness should be suspected?</w:t>
      </w:r>
    </w:p>
    <w:p>
      <w:pPr>
        <w:spacing w:after="60"/>
        <w:ind w:left="360"/>
      </w:pPr>
      <w:r>
        <w:rPr>
          <w:b/>
          <w:bCs/>
          <w:sz w:val="22"/>
          <w:szCs w:val="22"/>
        </w:rPr>
        <w:t xml:space="preserve">A) </w:t>
      </w:r>
      <w:r>
        <w:rPr>
          <w:sz w:val="22"/>
          <w:szCs w:val="22"/>
        </w:rPr>
        <w:t xml:space="preserve">Bacterial epididymitis unrelated to the current illness</w:t>
      </w:r>
    </w:p>
    <w:p>
      <w:pPr>
        <w:spacing w:after="60"/>
        <w:ind w:left="360"/>
      </w:pPr>
      <w:r>
        <w:rPr>
          <w:b/>
          <w:bCs/>
          <w:sz w:val="22"/>
          <w:szCs w:val="22"/>
        </w:rPr>
        <w:t xml:space="preserve">B) </w:t>
      </w:r>
      <w:r>
        <w:rPr>
          <w:sz w:val="22"/>
          <w:szCs w:val="22"/>
        </w:rPr>
        <w:t xml:space="preserve">Mumps orchitis</w:t>
      </w:r>
    </w:p>
    <w:p>
      <w:pPr>
        <w:spacing w:after="60"/>
        <w:ind w:left="360"/>
      </w:pPr>
      <w:r>
        <w:rPr>
          <w:b/>
          <w:bCs/>
          <w:sz w:val="22"/>
          <w:szCs w:val="22"/>
        </w:rPr>
        <w:t xml:space="preserve">C) </w:t>
      </w:r>
      <w:r>
        <w:rPr>
          <w:sz w:val="22"/>
          <w:szCs w:val="22"/>
        </w:rPr>
        <w:t xml:space="preserve">Renal calculus</w:t>
      </w:r>
    </w:p>
    <w:p>
      <w:pPr>
        <w:spacing w:after="60"/>
        <w:ind w:left="360"/>
      </w:pPr>
      <w:r>
        <w:rPr>
          <w:b/>
          <w:bCs/>
          <w:sz w:val="22"/>
          <w:szCs w:val="22"/>
        </w:rPr>
        <w:t xml:space="preserve">D) </w:t>
      </w:r>
      <w:r>
        <w:rPr>
          <w:sz w:val="22"/>
          <w:szCs w:val="22"/>
        </w:rPr>
        <w:t xml:space="preserve">Testicular torsion unrelated to the viral illness</w:t>
      </w:r>
    </w:p>
    <w:p>
      <w:pPr>
        <w:spacing w:after="60"/>
        <w:ind w:left="360"/>
      </w:pPr>
      <w:r>
        <w:rPr>
          <w:b/>
          <w:bCs/>
          <w:sz w:val="22"/>
          <w:szCs w:val="22"/>
        </w:rPr>
        <w:t xml:space="preserve">E) </w:t>
      </w:r>
      <w:r>
        <w:rPr>
          <w:sz w:val="22"/>
          <w:szCs w:val="22"/>
        </w:rPr>
        <w:t xml:space="preserve">Torsion of the appendix testis</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the temporal association with mumps parotitis points to a viral complication, not incidental bacterial infection.</w:t>
      </w:r>
    </w:p>
    <w:p>
      <w:pPr>
        <w:spacing w:after="40"/>
        <w:ind w:left="360"/>
      </w:pPr>
      <w:r>
        <w:rPr>
          <w:b/>
          <w:bCs/>
          <w:sz w:val="20"/>
          <w:szCs w:val="20"/>
        </w:rPr>
        <w:t xml:space="preserve">B) </w:t>
      </w:r>
      <w:r>
        <w:rPr>
          <w:sz w:val="20"/>
          <w:szCs w:val="20"/>
        </w:rPr>
        <w:t xml:space="preserve">Correct — mumps orchitis is a recognized complication of mumps infection, particularly in post-pubertal males, and can rarely cause subfertility.</w:t>
      </w:r>
    </w:p>
    <w:p>
      <w:pPr>
        <w:spacing w:after="40"/>
        <w:ind w:left="360"/>
      </w:pPr>
      <w:r>
        <w:rPr>
          <w:b/>
          <w:bCs/>
          <w:sz w:val="20"/>
          <w:szCs w:val="20"/>
        </w:rPr>
        <w:t xml:space="preserve">C) </w:t>
      </w:r>
      <w:r>
        <w:rPr>
          <w:sz w:val="20"/>
          <w:szCs w:val="20"/>
        </w:rPr>
        <w:t xml:space="preserve">Incorrect — unrelated to mumps and doesn't fit the clinical picture.</w:t>
      </w:r>
    </w:p>
    <w:p>
      <w:pPr>
        <w:spacing w:after="40"/>
        <w:ind w:left="360"/>
      </w:pPr>
      <w:r>
        <w:rPr>
          <w:b/>
          <w:bCs/>
          <w:sz w:val="20"/>
          <w:szCs w:val="20"/>
        </w:rPr>
        <w:t xml:space="preserve">D) </w:t>
      </w:r>
      <w:r>
        <w:rPr>
          <w:sz w:val="20"/>
          <w:szCs w:val="20"/>
        </w:rPr>
        <w:t xml:space="preserve">Incorrect — torsion is a surgical emergency unrelated to the systemic viral illness, though it must always be excluded clinically.</w:t>
      </w:r>
    </w:p>
    <w:p>
      <w:pPr>
        <w:spacing w:after="40"/>
        <w:ind w:left="360"/>
      </w:pPr>
      <w:r>
        <w:rPr>
          <w:b/>
          <w:bCs/>
          <w:sz w:val="20"/>
          <w:szCs w:val="20"/>
        </w:rPr>
        <w:t xml:space="preserve">E) </w:t>
      </w:r>
      <w:r>
        <w:rPr>
          <w:sz w:val="20"/>
          <w:szCs w:val="20"/>
        </w:rPr>
        <w:t xml:space="preserve">Incorrect — not a recognized mumps complication.</w:t>
      </w:r>
    </w:p>
    <w:p>
      <w:pPr>
        <w:spacing w:after="200"/>
      </w:pPr>
      <w:r>
        <w:rPr>
          <w:i/>
          <w:iCs/>
          <w:color w:val="595959"/>
          <w:sz w:val="16"/>
          <w:szCs w:val="16"/>
        </w:rPr>
        <w:t xml:space="preserve">Source: CDC — Clinical Features of Mumps — https://www.cdc.gov/mumps/hcp/clinical-signs/index.html</w:t>
      </w:r>
    </w:p>
    <w:p>
      <w:pPr>
        <w:spacing w:after="120" w:before="300"/>
      </w:pPr>
      <w:r>
        <w:rPr>
          <w:b/>
          <w:bCs/>
          <w:sz w:val="24"/>
          <w:szCs w:val="24"/>
        </w:rPr>
        <w:t xml:space="preserve">15. </w:t>
      </w:r>
      <w:r>
        <w:rPr>
          <w:sz w:val="24"/>
          <w:szCs w:val="24"/>
        </w:rPr>
        <w:t xml:space="preserve">A medical student is asked to summarize the epidemiology of salivary gland tumors before a viva examination. She recalls a commonly taught rule linking the location of a tumor to its likelihood of being benign or malignant, based on the size of the gland involved.</w:t>
      </w:r>
    </w:p>
    <w:p>
      <w:pPr>
        <w:spacing w:after="120"/>
      </w:pPr>
      <w:r>
        <w:rPr>
          <w:i/>
          <w:iCs/>
          <w:sz w:val="24"/>
          <w:szCs w:val="24"/>
        </w:rPr>
        <w:t xml:space="preserve">According to the "rule of 80s" for salivary gland tumors, which statement is correct?</w:t>
      </w:r>
    </w:p>
    <w:p>
      <w:pPr>
        <w:spacing w:after="60"/>
        <w:ind w:left="360"/>
      </w:pPr>
      <w:r>
        <w:rPr>
          <w:b/>
          <w:bCs/>
          <w:sz w:val="22"/>
          <w:szCs w:val="22"/>
        </w:rPr>
        <w:t xml:space="preserve">A) </w:t>
      </w:r>
      <w:r>
        <w:rPr>
          <w:sz w:val="22"/>
          <w:szCs w:val="22"/>
        </w:rPr>
        <w:t xml:space="preserve">80% of all salivary tumors arise in minor salivary glands</w:t>
      </w:r>
    </w:p>
    <w:p>
      <w:pPr>
        <w:spacing w:after="60"/>
        <w:ind w:left="360"/>
      </w:pPr>
      <w:r>
        <w:rPr>
          <w:b/>
          <w:bCs/>
          <w:sz w:val="22"/>
          <w:szCs w:val="22"/>
        </w:rPr>
        <w:t xml:space="preserve">B) </w:t>
      </w:r>
      <w:r>
        <w:rPr>
          <w:sz w:val="22"/>
          <w:szCs w:val="22"/>
        </w:rPr>
        <w:t xml:space="preserve">80% of parotid tumors are malignant</w:t>
      </w:r>
    </w:p>
    <w:p>
      <w:pPr>
        <w:spacing w:after="60"/>
        <w:ind w:left="360"/>
      </w:pPr>
      <w:r>
        <w:rPr>
          <w:b/>
          <w:bCs/>
          <w:sz w:val="22"/>
          <w:szCs w:val="22"/>
        </w:rPr>
        <w:t xml:space="preserve">C) </w:t>
      </w:r>
      <w:r>
        <w:rPr>
          <w:sz w:val="22"/>
          <w:szCs w:val="22"/>
        </w:rPr>
        <w:t xml:space="preserve">80% of salivary tumors arise in the parotid gland, and 80% of parotid tumors are benign</w:t>
      </w:r>
    </w:p>
    <w:p>
      <w:pPr>
        <w:spacing w:after="60"/>
        <w:ind w:left="360"/>
      </w:pPr>
      <w:r>
        <w:rPr>
          <w:b/>
          <w:bCs/>
          <w:sz w:val="22"/>
          <w:szCs w:val="22"/>
        </w:rPr>
        <w:t xml:space="preserve">D) </w:t>
      </w:r>
      <w:r>
        <w:rPr>
          <w:sz w:val="22"/>
          <w:szCs w:val="22"/>
        </w:rPr>
        <w:t xml:space="preserve">80% of submandibular gland tumors are benign</w:t>
      </w:r>
    </w:p>
    <w:p>
      <w:pPr>
        <w:spacing w:after="60"/>
        <w:ind w:left="360"/>
      </w:pPr>
      <w:r>
        <w:rPr>
          <w:b/>
          <w:bCs/>
          <w:sz w:val="22"/>
          <w:szCs w:val="22"/>
        </w:rPr>
        <w:t xml:space="preserve">E) </w:t>
      </w:r>
      <w:r>
        <w:rPr>
          <w:sz w:val="22"/>
          <w:szCs w:val="22"/>
        </w:rPr>
        <w:t xml:space="preserve">Malignancy risk decreases as the size of the salivary gland decreases</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the reverse is true; 80% of salivary tumors arise in the parotid, the largest gland.</w:t>
      </w:r>
    </w:p>
    <w:p>
      <w:pPr>
        <w:spacing w:after="40"/>
        <w:ind w:left="360"/>
      </w:pPr>
      <w:r>
        <w:rPr>
          <w:b/>
          <w:bCs/>
          <w:sz w:val="20"/>
          <w:szCs w:val="20"/>
        </w:rPr>
        <w:t xml:space="preserve">B) </w:t>
      </w:r>
      <w:r>
        <w:rPr>
          <w:sz w:val="20"/>
          <w:szCs w:val="20"/>
        </w:rPr>
        <w:t xml:space="preserve">Incorrect — 80% of parotid tumors are benign, not malignant.</w:t>
      </w:r>
    </w:p>
    <w:p>
      <w:pPr>
        <w:spacing w:after="40"/>
        <w:ind w:left="360"/>
      </w:pPr>
      <w:r>
        <w:rPr>
          <w:b/>
          <w:bCs/>
          <w:sz w:val="20"/>
          <w:szCs w:val="20"/>
        </w:rPr>
        <w:t xml:space="preserve">C) </w:t>
      </w:r>
      <w:r>
        <w:rPr>
          <w:sz w:val="20"/>
          <w:szCs w:val="20"/>
        </w:rPr>
        <w:t xml:space="preserve">Correct — the classic "rule of 80s": approximately 80% of all salivary gland tumors occur in the parotid, approximately 80% of parotid tumors are benign, and approximately 80% of those benign parotid tumors are pleomorphic adenomas.</w:t>
      </w:r>
    </w:p>
    <w:p>
      <w:pPr>
        <w:spacing w:after="40"/>
        <w:ind w:left="360"/>
      </w:pPr>
      <w:r>
        <w:rPr>
          <w:b/>
          <w:bCs/>
          <w:sz w:val="20"/>
          <w:szCs w:val="20"/>
        </w:rPr>
        <w:t xml:space="preserve">D) </w:t>
      </w:r>
      <w:r>
        <w:rPr>
          <w:sz w:val="20"/>
          <w:szCs w:val="20"/>
        </w:rPr>
        <w:t xml:space="preserve">Incorrect — submandibular gland tumors have a roughly 50% malignancy rate, higher than parotid.</w:t>
      </w:r>
    </w:p>
    <w:p>
      <w:pPr>
        <w:spacing w:after="40"/>
        <w:ind w:left="360"/>
      </w:pPr>
      <w:r>
        <w:rPr>
          <w:b/>
          <w:bCs/>
          <w:sz w:val="20"/>
          <w:szCs w:val="20"/>
        </w:rPr>
        <w:t xml:space="preserve">E) </w:t>
      </w:r>
      <w:r>
        <w:rPr>
          <w:sz w:val="20"/>
          <w:szCs w:val="20"/>
        </w:rPr>
        <w:t xml:space="preserve">Incorrect — malignancy risk actually increases as gland size decreases (parotid ~20%, submandibular ~50%, minor glands ~80% malignant).</w:t>
      </w:r>
    </w:p>
    <w:p>
      <w:pPr>
        <w:spacing w:after="200"/>
      </w:pPr>
      <w:r>
        <w:rPr>
          <w:i/>
          <w:iCs/>
          <w:color w:val="595959"/>
          <w:sz w:val="16"/>
          <w:szCs w:val="16"/>
        </w:rPr>
        <w:t xml:space="preserve">Source: StatPearls — Parotid Cancer — https://www.ncbi.nlm.nih.gov/books/NBK538340/</w:t>
      </w:r>
    </w:p>
    <w:p>
      <w:pPr>
        <w:spacing w:after="120" w:before="300"/>
      </w:pPr>
      <w:r>
        <w:rPr>
          <w:b/>
          <w:bCs/>
          <w:sz w:val="24"/>
          <w:szCs w:val="24"/>
        </w:rPr>
        <w:t xml:space="preserve">16. </w:t>
      </w:r>
      <w:r>
        <w:rPr>
          <w:sz w:val="24"/>
          <w:szCs w:val="24"/>
        </w:rPr>
        <w:t xml:space="preserve">A 42-year-old woman has recurrent episodes of painful submandibular gland swelling related to meals, caused by a small stone lodged within the duct near the gland hilum. She wishes to avoid gland removal if a less invasive option is available.</w:t>
      </w:r>
    </w:p>
    <w:p>
      <w:pPr>
        <w:spacing w:after="120"/>
      </w:pPr>
      <w:r>
        <w:rPr>
          <w:i/>
          <w:iCs/>
          <w:sz w:val="24"/>
          <w:szCs w:val="24"/>
        </w:rPr>
        <w:t xml:space="preserve">What is the current first-line treatment of choice that could avoid gland excision in this case?</w:t>
      </w:r>
    </w:p>
    <w:p>
      <w:pPr>
        <w:spacing w:after="60"/>
        <w:ind w:left="360"/>
      </w:pPr>
      <w:r>
        <w:rPr>
          <w:b/>
          <w:bCs/>
          <w:sz w:val="22"/>
          <w:szCs w:val="22"/>
        </w:rPr>
        <w:t xml:space="preserve">A) </w:t>
      </w:r>
      <w:r>
        <w:rPr>
          <w:sz w:val="22"/>
          <w:szCs w:val="22"/>
        </w:rPr>
        <w:t xml:space="preserve">Extracorporeal shockwave lithotripsy only</w:t>
      </w:r>
    </w:p>
    <w:p>
      <w:pPr>
        <w:spacing w:after="60"/>
        <w:ind w:left="360"/>
      </w:pPr>
      <w:r>
        <w:rPr>
          <w:b/>
          <w:bCs/>
          <w:sz w:val="22"/>
          <w:szCs w:val="22"/>
        </w:rPr>
        <w:t xml:space="preserve">B) </w:t>
      </w:r>
      <w:r>
        <w:rPr>
          <w:sz w:val="22"/>
          <w:szCs w:val="22"/>
        </w:rPr>
        <w:t xml:space="preserve">Observation alone, as stones typically dissolve spontaneously</w:t>
      </w:r>
    </w:p>
    <w:p>
      <w:pPr>
        <w:spacing w:after="60"/>
        <w:ind w:left="360"/>
      </w:pPr>
      <w:r>
        <w:rPr>
          <w:b/>
          <w:bCs/>
          <w:sz w:val="22"/>
          <w:szCs w:val="22"/>
        </w:rPr>
        <w:t xml:space="preserve">C) </w:t>
      </w:r>
      <w:r>
        <w:rPr>
          <w:sz w:val="22"/>
          <w:szCs w:val="22"/>
        </w:rPr>
        <w:t xml:space="preserve">Prophylactic long-term antibiotics</w:t>
      </w:r>
    </w:p>
    <w:p>
      <w:pPr>
        <w:spacing w:after="60"/>
        <w:ind w:left="360"/>
      </w:pPr>
      <w:r>
        <w:rPr>
          <w:b/>
          <w:bCs/>
          <w:sz w:val="22"/>
          <w:szCs w:val="22"/>
        </w:rPr>
        <w:t xml:space="preserve">D) </w:t>
      </w:r>
      <w:r>
        <w:rPr>
          <w:sz w:val="22"/>
          <w:szCs w:val="22"/>
        </w:rPr>
        <w:t xml:space="preserve">Sialendoscopy with stone retrieval</w:t>
      </w:r>
    </w:p>
    <w:p>
      <w:pPr>
        <w:spacing w:after="60"/>
        <w:ind w:left="360"/>
      </w:pPr>
      <w:r>
        <w:rPr>
          <w:b/>
          <w:bCs/>
          <w:sz w:val="22"/>
          <w:szCs w:val="22"/>
        </w:rPr>
        <w:t xml:space="preserve">E) </w:t>
      </w:r>
      <w:r>
        <w:rPr>
          <w:sz w:val="22"/>
          <w:szCs w:val="22"/>
        </w:rPr>
        <w:t xml:space="preserve">Submandibular gland (sialoadenectomy) excision as the only option</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shockwave lithotripsy is an adjunct in select cases but not the standard first-line approach.</w:t>
      </w:r>
    </w:p>
    <w:p>
      <w:pPr>
        <w:spacing w:after="40"/>
        <w:ind w:left="360"/>
      </w:pPr>
      <w:r>
        <w:rPr>
          <w:b/>
          <w:bCs/>
          <w:sz w:val="20"/>
          <w:szCs w:val="20"/>
        </w:rPr>
        <w:t xml:space="preserve">B) </w:t>
      </w:r>
      <w:r>
        <w:rPr>
          <w:sz w:val="20"/>
          <w:szCs w:val="20"/>
        </w:rPr>
        <w:t xml:space="preserve">Incorrect — salivary stones do not typically dissolve spontaneously.</w:t>
      </w:r>
    </w:p>
    <w:p>
      <w:pPr>
        <w:spacing w:after="40"/>
        <w:ind w:left="360"/>
      </w:pPr>
      <w:r>
        <w:rPr>
          <w:b/>
          <w:bCs/>
          <w:sz w:val="20"/>
          <w:szCs w:val="20"/>
        </w:rPr>
        <w:t xml:space="preserve">C) </w:t>
      </w:r>
      <w:r>
        <w:rPr>
          <w:sz w:val="20"/>
          <w:szCs w:val="20"/>
        </w:rPr>
        <w:t xml:space="preserve">Incorrect — antibiotics treat secondary infection but do not address the obstructing stone.</w:t>
      </w:r>
    </w:p>
    <w:p>
      <w:pPr>
        <w:spacing w:after="40"/>
        <w:ind w:left="360"/>
      </w:pPr>
      <w:r>
        <w:rPr>
          <w:b/>
          <w:bCs/>
          <w:sz w:val="20"/>
          <w:szCs w:val="20"/>
        </w:rPr>
        <w:t xml:space="preserve">D) </w:t>
      </w:r>
      <w:r>
        <w:rPr>
          <w:sz w:val="20"/>
          <w:szCs w:val="20"/>
        </w:rPr>
        <w:t xml:space="preserve">Correct — sialendoscopy is now considered the first treatment of choice for submandibular sialolithiasis, allowing minimally invasive stone retrieval and gland preservation.</w:t>
      </w:r>
    </w:p>
    <w:p>
      <w:pPr>
        <w:spacing w:after="40"/>
        <w:ind w:left="360"/>
      </w:pPr>
      <w:r>
        <w:rPr>
          <w:b/>
          <w:bCs/>
          <w:sz w:val="20"/>
          <w:szCs w:val="20"/>
        </w:rPr>
        <w:t xml:space="preserve">E) </w:t>
      </w:r>
      <w:r>
        <w:rPr>
          <w:sz w:val="20"/>
          <w:szCs w:val="20"/>
        </w:rPr>
        <w:t xml:space="preserve">Incorrect — gland excision is reserved for cases where minimally invasive options fail or are unsuitable, not the only option.</w:t>
      </w:r>
    </w:p>
    <w:p>
      <w:pPr>
        <w:spacing w:after="200"/>
      </w:pPr>
      <w:r>
        <w:rPr>
          <w:i/>
          <w:iCs/>
          <w:color w:val="595959"/>
          <w:sz w:val="16"/>
          <w:szCs w:val="16"/>
        </w:rPr>
        <w:t xml:space="preserve">Source: PMC — Sialendoscopy for Sialolithiasis and Chronic Sialadenitis — https://pmc.ncbi.nlm.nih.gov/articles/PMC6640668/</w:t>
      </w:r>
    </w:p>
    <w:p>
      <w:pPr>
        <w:spacing w:after="120" w:before="300"/>
      </w:pPr>
      <w:r>
        <w:rPr>
          <w:b/>
          <w:bCs/>
          <w:sz w:val="24"/>
          <w:szCs w:val="24"/>
        </w:rPr>
        <w:t xml:space="preserve">17. </w:t>
      </w:r>
      <w:r>
        <w:rPr>
          <w:sz w:val="24"/>
          <w:szCs w:val="24"/>
        </w:rPr>
        <w:t xml:space="preserve">A 35-year-old man presents with intermittent swelling of the submandibular gland related to eating. The clinician wants a widely available, low-cost, radiation-free investigation to assess for a possible duct stone or gland inflammation as an initial step before considering further imaging.</w:t>
      </w:r>
    </w:p>
    <w:p>
      <w:pPr>
        <w:spacing w:after="120"/>
      </w:pPr>
      <w:r>
        <w:rPr>
          <w:i/>
          <w:iCs/>
          <w:sz w:val="24"/>
          <w:szCs w:val="24"/>
        </w:rPr>
        <w:t xml:space="preserve">Which imaging modality is most appropriate as the first-line investigation in this scenario?</w:t>
      </w:r>
    </w:p>
    <w:p>
      <w:pPr>
        <w:spacing w:after="60"/>
        <w:ind w:left="360"/>
      </w:pPr>
      <w:r>
        <w:rPr>
          <w:b/>
          <w:bCs/>
          <w:sz w:val="22"/>
          <w:szCs w:val="22"/>
        </w:rPr>
        <w:t xml:space="preserve">A) </w:t>
      </w:r>
      <w:r>
        <w:rPr>
          <w:sz w:val="22"/>
          <w:szCs w:val="22"/>
        </w:rPr>
        <w:t xml:space="preserve">Conventional sialography</w:t>
      </w:r>
    </w:p>
    <w:p>
      <w:pPr>
        <w:spacing w:after="60"/>
        <w:ind w:left="360"/>
      </w:pPr>
      <w:r>
        <w:rPr>
          <w:b/>
          <w:bCs/>
          <w:sz w:val="22"/>
          <w:szCs w:val="22"/>
        </w:rPr>
        <w:t xml:space="preserve">B) </w:t>
      </w:r>
      <w:r>
        <w:rPr>
          <w:sz w:val="22"/>
          <w:szCs w:val="22"/>
        </w:rPr>
        <w:t xml:space="preserve">CT scan with contrast</w:t>
      </w:r>
    </w:p>
    <w:p>
      <w:pPr>
        <w:spacing w:after="60"/>
        <w:ind w:left="360"/>
      </w:pPr>
      <w:r>
        <w:rPr>
          <w:b/>
          <w:bCs/>
          <w:sz w:val="22"/>
          <w:szCs w:val="22"/>
        </w:rPr>
        <w:t xml:space="preserve">C) </w:t>
      </w:r>
      <w:r>
        <w:rPr>
          <w:sz w:val="22"/>
          <w:szCs w:val="22"/>
        </w:rPr>
        <w:t xml:space="preserve">MRI with gadolinium</w:t>
      </w:r>
    </w:p>
    <w:p>
      <w:pPr>
        <w:spacing w:after="60"/>
        <w:ind w:left="360"/>
      </w:pPr>
      <w:r>
        <w:rPr>
          <w:b/>
          <w:bCs/>
          <w:sz w:val="22"/>
          <w:szCs w:val="22"/>
        </w:rPr>
        <w:t xml:space="preserve">D) </w:t>
      </w:r>
      <w:r>
        <w:rPr>
          <w:sz w:val="22"/>
          <w:szCs w:val="22"/>
        </w:rPr>
        <w:t xml:space="preserve">Technetium-99m salivary scintigraphy</w:t>
      </w:r>
    </w:p>
    <w:p>
      <w:pPr>
        <w:spacing w:after="60"/>
        <w:ind w:left="360"/>
      </w:pPr>
      <w:r>
        <w:rPr>
          <w:b/>
          <w:bCs/>
          <w:sz w:val="22"/>
          <w:szCs w:val="22"/>
        </w:rPr>
        <w:t xml:space="preserve">E) </w:t>
      </w:r>
      <w:r>
        <w:rPr>
          <w:sz w:val="22"/>
          <w:szCs w:val="22"/>
        </w:rPr>
        <w:t xml:space="preserve">Ultrasound</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sialography is invasive, requires ductal cannulation, and is not first-line.</w:t>
      </w:r>
    </w:p>
    <w:p>
      <w:pPr>
        <w:spacing w:after="40"/>
        <w:ind w:left="360"/>
      </w:pPr>
      <w:r>
        <w:rPr>
          <w:b/>
          <w:bCs/>
          <w:sz w:val="20"/>
          <w:szCs w:val="20"/>
        </w:rPr>
        <w:t xml:space="preserve">B) </w:t>
      </w:r>
      <w:r>
        <w:rPr>
          <w:sz w:val="20"/>
          <w:szCs w:val="20"/>
        </w:rPr>
        <w:t xml:space="preserve">Incorrect — CT is more sensitive for calcifications but involves radiation and cost; not the first step.</w:t>
      </w:r>
    </w:p>
    <w:p>
      <w:pPr>
        <w:spacing w:after="40"/>
        <w:ind w:left="360"/>
      </w:pPr>
      <w:r>
        <w:rPr>
          <w:b/>
          <w:bCs/>
          <w:sz w:val="20"/>
          <w:szCs w:val="20"/>
        </w:rPr>
        <w:t xml:space="preserve">C) </w:t>
      </w:r>
      <w:r>
        <w:rPr>
          <w:sz w:val="20"/>
          <w:szCs w:val="20"/>
        </w:rPr>
        <w:t xml:space="preserve">Incorrect — MRI is reserved for further characterization of masses, not the routine first-line test for suspected stones.</w:t>
      </w:r>
    </w:p>
    <w:p>
      <w:pPr>
        <w:spacing w:after="40"/>
        <w:ind w:left="360"/>
      </w:pPr>
      <w:r>
        <w:rPr>
          <w:b/>
          <w:bCs/>
          <w:sz w:val="20"/>
          <w:szCs w:val="20"/>
        </w:rPr>
        <w:t xml:space="preserve">D) </w:t>
      </w:r>
      <w:r>
        <w:rPr>
          <w:sz w:val="20"/>
          <w:szCs w:val="20"/>
        </w:rPr>
        <w:t xml:space="preserve">Incorrect — scintigraphy assesses gland function, not typically first-line for suspected obstructive disease.</w:t>
      </w:r>
    </w:p>
    <w:p>
      <w:pPr>
        <w:spacing w:after="40"/>
        <w:ind w:left="360"/>
      </w:pPr>
      <w:r>
        <w:rPr>
          <w:b/>
          <w:bCs/>
          <w:sz w:val="20"/>
          <w:szCs w:val="20"/>
        </w:rPr>
        <w:t xml:space="preserve">E) </w:t>
      </w:r>
      <w:r>
        <w:rPr>
          <w:sz w:val="20"/>
          <w:szCs w:val="20"/>
        </w:rPr>
        <w:t xml:space="preserve">Correct — ultrasound is widely available, low-cost, radiation-free, and considered first-line for obstructive/inflammatory salivary gland disease, sufficient for diagnosis in over 90% of such cases.</w:t>
      </w:r>
    </w:p>
    <w:p>
      <w:pPr>
        <w:spacing w:after="200"/>
      </w:pPr>
      <w:r>
        <w:rPr>
          <w:i/>
          <w:iCs/>
          <w:color w:val="595959"/>
          <w:sz w:val="16"/>
          <w:szCs w:val="16"/>
        </w:rPr>
        <w:t xml:space="preserve">Source: PMC — Ultrasound in Inflammatory and Obstructive Salivary Gland Diseases — https://www.ncbi.nlm.nih.gov/pmc/articles/PMC8397054/</w:t>
      </w:r>
    </w:p>
    <w:p>
      <w:pPr>
        <w:spacing w:after="120" w:before="300"/>
      </w:pPr>
      <w:r>
        <w:rPr>
          <w:b/>
          <w:bCs/>
          <w:sz w:val="24"/>
          <w:szCs w:val="24"/>
        </w:rPr>
        <w:t xml:space="preserve">18. </w:t>
      </w:r>
      <w:r>
        <w:rPr>
          <w:sz w:val="24"/>
          <w:szCs w:val="24"/>
        </w:rPr>
        <w:t xml:space="preserve">A 45-year-old smoker presents with a painful ulcer with irregular, slightly raised edges and a necrotic base on the hard palate, which developed over a few days. Biopsy shows lobular necrosis of salivary acini with squamous metaplasia of the ducts, but no evidence of malignancy.</w:t>
      </w:r>
    </w:p>
    <w:p>
      <w:pPr>
        <w:spacing w:after="120"/>
      </w:pPr>
      <w:r>
        <w:rPr>
          <w:i/>
          <w:iCs/>
          <w:sz w:val="24"/>
          <w:szCs w:val="24"/>
        </w:rPr>
        <w:t xml:space="preserve">What is the most appropriate management of this condition once the diagnosis is confirmed histologically?</w:t>
      </w:r>
    </w:p>
    <w:p>
      <w:pPr>
        <w:spacing w:after="60"/>
        <w:ind w:left="360"/>
      </w:pPr>
      <w:r>
        <w:rPr>
          <w:b/>
          <w:bCs/>
          <w:sz w:val="22"/>
          <w:szCs w:val="22"/>
        </w:rPr>
        <w:t xml:space="preserve">A) </w:t>
      </w:r>
      <w:r>
        <w:rPr>
          <w:sz w:val="22"/>
          <w:szCs w:val="22"/>
        </w:rPr>
        <w:t xml:space="preserve">Chemotherapy</w:t>
      </w:r>
    </w:p>
    <w:p>
      <w:pPr>
        <w:spacing w:after="60"/>
        <w:ind w:left="360"/>
      </w:pPr>
      <w:r>
        <w:rPr>
          <w:b/>
          <w:bCs/>
          <w:sz w:val="22"/>
          <w:szCs w:val="22"/>
        </w:rPr>
        <w:t xml:space="preserve">B) </w:t>
      </w:r>
      <w:r>
        <w:rPr>
          <w:sz w:val="22"/>
          <w:szCs w:val="22"/>
        </w:rPr>
        <w:t xml:space="preserve">Radical maxillectomy</w:t>
      </w:r>
    </w:p>
    <w:p>
      <w:pPr>
        <w:spacing w:after="60"/>
        <w:ind w:left="360"/>
      </w:pPr>
      <w:r>
        <w:rPr>
          <w:b/>
          <w:bCs/>
          <w:sz w:val="22"/>
          <w:szCs w:val="22"/>
        </w:rPr>
        <w:t xml:space="preserve">C) </w:t>
      </w:r>
      <w:r>
        <w:rPr>
          <w:sz w:val="22"/>
          <w:szCs w:val="22"/>
        </w:rPr>
        <w:t xml:space="preserve">Radiotherapy</w:t>
      </w:r>
    </w:p>
    <w:p>
      <w:pPr>
        <w:spacing w:after="60"/>
        <w:ind w:left="360"/>
      </w:pPr>
      <w:r>
        <w:rPr>
          <w:b/>
          <w:bCs/>
          <w:sz w:val="22"/>
          <w:szCs w:val="22"/>
        </w:rPr>
        <w:t xml:space="preserve">D) </w:t>
      </w:r>
      <w:r>
        <w:rPr>
          <w:sz w:val="22"/>
          <w:szCs w:val="22"/>
        </w:rPr>
        <w:t xml:space="preserve">Reassurance and conservative management, as it is self-limiting</w:t>
      </w:r>
    </w:p>
    <w:p>
      <w:pPr>
        <w:spacing w:after="60"/>
        <w:ind w:left="360"/>
      </w:pPr>
      <w:r>
        <w:rPr>
          <w:b/>
          <w:bCs/>
          <w:sz w:val="22"/>
          <w:szCs w:val="22"/>
        </w:rPr>
        <w:t xml:space="preserve">E) </w:t>
      </w:r>
      <w:r>
        <w:rPr>
          <w:sz w:val="22"/>
          <w:szCs w:val="22"/>
        </w:rPr>
        <w:t xml:space="preserve">Wide surgical excision with margins</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this is a benign reactive/inflammatory condition, not a malignancy requiring chemotherapy.</w:t>
      </w:r>
    </w:p>
    <w:p>
      <w:pPr>
        <w:spacing w:after="40"/>
        <w:ind w:left="360"/>
      </w:pPr>
      <w:r>
        <w:rPr>
          <w:b/>
          <w:bCs/>
          <w:sz w:val="20"/>
          <w:szCs w:val="20"/>
        </w:rPr>
        <w:t xml:space="preserve">B) </w:t>
      </w:r>
      <w:r>
        <w:rPr>
          <w:sz w:val="20"/>
          <w:szCs w:val="20"/>
        </w:rPr>
        <w:t xml:space="preserve">Incorrect — radical surgery is inappropriate for a benign, self-limiting lesion.</w:t>
      </w:r>
    </w:p>
    <w:p>
      <w:pPr>
        <w:spacing w:after="40"/>
        <w:ind w:left="360"/>
      </w:pPr>
      <w:r>
        <w:rPr>
          <w:b/>
          <w:bCs/>
          <w:sz w:val="20"/>
          <w:szCs w:val="20"/>
        </w:rPr>
        <w:t xml:space="preserve">C) </w:t>
      </w:r>
      <w:r>
        <w:rPr>
          <w:sz w:val="20"/>
          <w:szCs w:val="20"/>
        </w:rPr>
        <w:t xml:space="preserve">Incorrect — radiotherapy is not indicated for this benign condition.</w:t>
      </w:r>
    </w:p>
    <w:p>
      <w:pPr>
        <w:spacing w:after="40"/>
        <w:ind w:left="360"/>
      </w:pPr>
      <w:r>
        <w:rPr>
          <w:b/>
          <w:bCs/>
          <w:sz w:val="20"/>
          <w:szCs w:val="20"/>
        </w:rPr>
        <w:t xml:space="preserve">D) </w:t>
      </w:r>
      <w:r>
        <w:rPr>
          <w:sz w:val="20"/>
          <w:szCs w:val="20"/>
        </w:rPr>
        <w:t xml:space="preserve">Correct — necrotizing sialometaplasia is a benign, self-limiting reactive disorder that resolves spontaneously over 3–12 weeks once the important histological distinction from malignancy has been made; no further treatment is needed.</w:t>
      </w:r>
    </w:p>
    <w:p>
      <w:pPr>
        <w:spacing w:after="40"/>
        <w:ind w:left="360"/>
      </w:pPr>
      <w:r>
        <w:rPr>
          <w:b/>
          <w:bCs/>
          <w:sz w:val="20"/>
          <w:szCs w:val="20"/>
        </w:rPr>
        <w:t xml:space="preserve">E) </w:t>
      </w:r>
      <w:r>
        <w:rPr>
          <w:sz w:val="20"/>
          <w:szCs w:val="20"/>
        </w:rPr>
        <w:t xml:space="preserve">Incorrect — wide excision is unnecessary once the biopsy has excluded malignancy.</w:t>
      </w:r>
    </w:p>
    <w:p>
      <w:pPr>
        <w:spacing w:after="200"/>
      </w:pPr>
      <w:r>
        <w:rPr>
          <w:i/>
          <w:iCs/>
          <w:color w:val="595959"/>
          <w:sz w:val="16"/>
          <w:szCs w:val="16"/>
        </w:rPr>
        <w:t xml:space="preserve">Source: PMC — Necrotizing Sialometaplasia: A Diagnostic Challenge — https://www.ncbi.nlm.nih.gov/pmc/articles/PMC9884392/</w:t>
      </w:r>
    </w:p>
    <w:p>
      <w:pPr>
        <w:spacing w:after="120" w:before="300"/>
      </w:pPr>
      <w:r>
        <w:rPr>
          <w:b/>
          <w:bCs/>
          <w:sz w:val="24"/>
          <w:szCs w:val="24"/>
        </w:rPr>
        <w:t xml:space="preserve">19. </w:t>
      </w:r>
      <w:r>
        <w:rPr>
          <w:sz w:val="24"/>
          <w:szCs w:val="24"/>
        </w:rPr>
        <w:t xml:space="preserve">A 30-year-old man with newly diagnosed HIV infection presents with slowly progressive, painless, bilateral swelling of both parotid glands, noticed gradually over several months, along with bilateral cervical lymphadenopathy. Imaging shows multiple well-defined cystic lesions within both parotid glands, without any solid mass component.</w:t>
      </w:r>
    </w:p>
    <w:p>
      <w:pPr>
        <w:spacing w:after="120"/>
      </w:pPr>
      <w:r>
        <w:rPr>
          <w:i/>
          <w:iCs/>
          <w:sz w:val="24"/>
          <w:szCs w:val="24"/>
        </w:rPr>
        <w:t xml:space="preserve">What is the most likely diagnosis, and what is an effective medical treatment?</w:t>
      </w:r>
    </w:p>
    <w:p>
      <w:pPr>
        <w:spacing w:after="60"/>
        <w:ind w:left="360"/>
      </w:pPr>
      <w:r>
        <w:rPr>
          <w:b/>
          <w:bCs/>
          <w:sz w:val="22"/>
          <w:szCs w:val="22"/>
        </w:rPr>
        <w:t xml:space="preserve">A) </w:t>
      </w:r>
      <w:r>
        <w:rPr>
          <w:sz w:val="22"/>
          <w:szCs w:val="22"/>
        </w:rPr>
        <w:t xml:space="preserve">Bilateral pleomorphic adenomas; superficial parotidectomy</w:t>
      </w:r>
    </w:p>
    <w:p>
      <w:pPr>
        <w:spacing w:after="60"/>
        <w:ind w:left="360"/>
      </w:pPr>
      <w:r>
        <w:rPr>
          <w:b/>
          <w:bCs/>
          <w:sz w:val="22"/>
          <w:szCs w:val="22"/>
        </w:rPr>
        <w:t xml:space="preserve">B) </w:t>
      </w:r>
      <w:r>
        <w:rPr>
          <w:sz w:val="22"/>
          <w:szCs w:val="22"/>
        </w:rPr>
        <w:t xml:space="preserve">Bilateral Warthin tumors; observation only</w:t>
      </w:r>
    </w:p>
    <w:p>
      <w:pPr>
        <w:spacing w:after="60"/>
        <w:ind w:left="360"/>
      </w:pPr>
      <w:r>
        <w:rPr>
          <w:b/>
          <w:bCs/>
          <w:sz w:val="22"/>
          <w:szCs w:val="22"/>
        </w:rPr>
        <w:t xml:space="preserve">C) </w:t>
      </w:r>
      <w:r>
        <w:rPr>
          <w:sz w:val="22"/>
          <w:szCs w:val="22"/>
        </w:rPr>
        <w:t xml:space="preserve">HIV-associated benign lymphoepithelial cysts; combination antiretroviral therapy</w:t>
      </w:r>
    </w:p>
    <w:p>
      <w:pPr>
        <w:spacing w:after="60"/>
        <w:ind w:left="360"/>
      </w:pPr>
      <w:r>
        <w:rPr>
          <w:b/>
          <w:bCs/>
          <w:sz w:val="22"/>
          <w:szCs w:val="22"/>
        </w:rPr>
        <w:t xml:space="preserve">D) </w:t>
      </w:r>
      <w:r>
        <w:rPr>
          <w:sz w:val="22"/>
          <w:szCs w:val="22"/>
        </w:rPr>
        <w:t xml:space="preserve">Mumps parotitis; supportive care only</w:t>
      </w:r>
    </w:p>
    <w:p>
      <w:pPr>
        <w:spacing w:after="60"/>
        <w:ind w:left="360"/>
      </w:pPr>
      <w:r>
        <w:rPr>
          <w:b/>
          <w:bCs/>
          <w:sz w:val="22"/>
          <w:szCs w:val="22"/>
        </w:rPr>
        <w:t xml:space="preserve">E) </w:t>
      </w:r>
      <w:r>
        <w:rPr>
          <w:sz w:val="22"/>
          <w:szCs w:val="22"/>
        </w:rPr>
        <w:t xml:space="preserve">Tuberculous parotid abscesses; anti-tuberculous therapy</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pleomorphic adenomas are solid, not cystic, and don't specifically relate to HIV.</w:t>
      </w:r>
    </w:p>
    <w:p>
      <w:pPr>
        <w:spacing w:after="40"/>
        <w:ind w:left="360"/>
      </w:pPr>
      <w:r>
        <w:rPr>
          <w:b/>
          <w:bCs/>
          <w:sz w:val="20"/>
          <w:szCs w:val="20"/>
        </w:rPr>
        <w:t xml:space="preserve">B) </w:t>
      </w:r>
      <w:r>
        <w:rPr>
          <w:sz w:val="20"/>
          <w:szCs w:val="20"/>
        </w:rPr>
        <w:t xml:space="preserve">Incorrect — Warthin tumors relate to smoking, not HIV.</w:t>
      </w:r>
    </w:p>
    <w:p>
      <w:pPr>
        <w:spacing w:after="40"/>
        <w:ind w:left="360"/>
      </w:pPr>
      <w:r>
        <w:rPr>
          <w:b/>
          <w:bCs/>
          <w:sz w:val="20"/>
          <w:szCs w:val="20"/>
        </w:rPr>
        <w:t xml:space="preserve">C) </w:t>
      </w:r>
      <w:r>
        <w:rPr>
          <w:sz w:val="20"/>
          <w:szCs w:val="20"/>
        </w:rPr>
        <w:t xml:space="preserve">Correct — bilateral parotid cystic lesions with cervical lymphadenopathy in an HIV-positive patient are characteristic of benign lymphoepithelial cysts, which occur in 3–6% of HIV-positive adults and respond to combination antiretroviral therapy, with or without corticosteroids.</w:t>
      </w:r>
    </w:p>
    <w:p>
      <w:pPr>
        <w:spacing w:after="40"/>
        <w:ind w:left="360"/>
      </w:pPr>
      <w:r>
        <w:rPr>
          <w:b/>
          <w:bCs/>
          <w:sz w:val="20"/>
          <w:szCs w:val="20"/>
        </w:rPr>
        <w:t xml:space="preserve">D) </w:t>
      </w:r>
      <w:r>
        <w:rPr>
          <w:sz w:val="20"/>
          <w:szCs w:val="20"/>
        </w:rPr>
        <w:t xml:space="preserve">Incorrect — mumps causes acute painful glandular swelling, not chronic painless cystic disease.</w:t>
      </w:r>
    </w:p>
    <w:p>
      <w:pPr>
        <w:spacing w:after="40"/>
        <w:ind w:left="360"/>
      </w:pPr>
      <w:r>
        <w:rPr>
          <w:b/>
          <w:bCs/>
          <w:sz w:val="20"/>
          <w:szCs w:val="20"/>
        </w:rPr>
        <w:t xml:space="preserve">E) </w:t>
      </w:r>
      <w:r>
        <w:rPr>
          <w:sz w:val="20"/>
          <w:szCs w:val="20"/>
        </w:rPr>
        <w:t xml:space="preserve">Incorrect — TB parotid disease is rare and would show different imaging/clinical features.</w:t>
      </w:r>
    </w:p>
    <w:p>
      <w:pPr>
        <w:spacing w:after="200"/>
      </w:pPr>
      <w:r>
        <w:rPr>
          <w:i/>
          <w:iCs/>
          <w:color w:val="595959"/>
          <w:sz w:val="16"/>
          <w:szCs w:val="16"/>
        </w:rPr>
        <w:t xml:space="preserve">Source: PMC — Parotid Lymphoepithelial Cysts in HIV Patients — https://www.ncbi.nlm.nih.gov/pmc/articles/PMC10782186/</w:t>
      </w:r>
    </w:p>
    <w:p>
      <w:pPr>
        <w:spacing w:after="120" w:before="300"/>
      </w:pPr>
      <w:r>
        <w:rPr>
          <w:b/>
          <w:bCs/>
          <w:sz w:val="24"/>
          <w:szCs w:val="24"/>
        </w:rPr>
        <w:t xml:space="preserve">20. </w:t>
      </w:r>
      <w:r>
        <w:rPr>
          <w:sz w:val="24"/>
          <w:szCs w:val="24"/>
        </w:rPr>
        <w:t xml:space="preserve">A 28-year-old woman notices a slowly enlarging, painless lump in her parotid gland over the past year. She is otherwise well, with no facial weakness or skin changes. Histology after excision reveals a low-grade malignant tumor showing serous acinar cell differentiation.</w:t>
      </w:r>
    </w:p>
    <w:p>
      <w:pPr>
        <w:spacing w:after="120"/>
      </w:pPr>
      <w:r>
        <w:rPr>
          <w:i/>
          <w:iCs/>
          <w:sz w:val="24"/>
          <w:szCs w:val="24"/>
        </w:rPr>
        <w:t xml:space="preserve">What is the most likely diagnosis, and what is important in its long-term management?</w:t>
      </w:r>
    </w:p>
    <w:p>
      <w:pPr>
        <w:spacing w:after="60"/>
        <w:ind w:left="360"/>
      </w:pPr>
      <w:r>
        <w:rPr>
          <w:b/>
          <w:bCs/>
          <w:sz w:val="22"/>
          <w:szCs w:val="22"/>
        </w:rPr>
        <w:t xml:space="preserve">A) </w:t>
      </w:r>
      <w:r>
        <w:rPr>
          <w:sz w:val="22"/>
          <w:szCs w:val="22"/>
        </w:rPr>
        <w:t xml:space="preserve">Acinic cell carcinoma; prolonged follow-up due to risk of late recurrence/metastasis despite generally favorable prognosis</w:t>
      </w:r>
    </w:p>
    <w:p>
      <w:pPr>
        <w:spacing w:after="60"/>
        <w:ind w:left="360"/>
      </w:pPr>
      <w:r>
        <w:rPr>
          <w:b/>
          <w:bCs/>
          <w:sz w:val="22"/>
          <w:szCs w:val="22"/>
        </w:rPr>
        <w:t xml:space="preserve">B) </w:t>
      </w:r>
      <w:r>
        <w:rPr>
          <w:sz w:val="22"/>
          <w:szCs w:val="22"/>
        </w:rPr>
        <w:t xml:space="preserve">Adenoid cystic carcinoma; aggressive chemoradiotherapy</w:t>
      </w:r>
    </w:p>
    <w:p>
      <w:pPr>
        <w:spacing w:after="60"/>
        <w:ind w:left="360"/>
      </w:pPr>
      <w:r>
        <w:rPr>
          <w:b/>
          <w:bCs/>
          <w:sz w:val="22"/>
          <w:szCs w:val="22"/>
        </w:rPr>
        <w:t xml:space="preserve">C) </w:t>
      </w:r>
      <w:r>
        <w:rPr>
          <w:sz w:val="22"/>
          <w:szCs w:val="22"/>
        </w:rPr>
        <w:t xml:space="preserve">Mucoepidermoid carcinoma; immediate radical neck dissection</w:t>
      </w:r>
    </w:p>
    <w:p>
      <w:pPr>
        <w:spacing w:after="60"/>
        <w:ind w:left="360"/>
      </w:pPr>
      <w:r>
        <w:rPr>
          <w:b/>
          <w:bCs/>
          <w:sz w:val="22"/>
          <w:szCs w:val="22"/>
        </w:rPr>
        <w:t xml:space="preserve">D) </w:t>
      </w:r>
      <w:r>
        <w:rPr>
          <w:sz w:val="22"/>
          <w:szCs w:val="22"/>
        </w:rPr>
        <w:t xml:space="preserve">Pleomorphic adenoma; no further follow-up needed</w:t>
      </w:r>
    </w:p>
    <w:p>
      <w:pPr>
        <w:spacing w:after="60"/>
        <w:ind w:left="360"/>
      </w:pPr>
      <w:r>
        <w:rPr>
          <w:b/>
          <w:bCs/>
          <w:sz w:val="22"/>
          <w:szCs w:val="22"/>
        </w:rPr>
        <w:t xml:space="preserve">E) </w:t>
      </w:r>
      <w:r>
        <w:rPr>
          <w:sz w:val="22"/>
          <w:szCs w:val="22"/>
        </w:rPr>
        <w:t xml:space="preserve">Sialadenosis; lifestyle modification only</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acinic cell carcinoma is a low-grade malignant tumor with serous acinar differentiation, tends to affect younger patients (especially females), and has a generally favorable prognosis but requires prolonged follow-up given the risk of local recurrence and late metastasis.</w:t>
      </w:r>
    </w:p>
    <w:p>
      <w:pPr>
        <w:spacing w:after="40"/>
        <w:ind w:left="360"/>
      </w:pPr>
      <w:r>
        <w:rPr>
          <w:b/>
          <w:bCs/>
          <w:sz w:val="20"/>
          <w:szCs w:val="20"/>
        </w:rPr>
        <w:t xml:space="preserve">B) </w:t>
      </w:r>
      <w:r>
        <w:rPr>
          <w:sz w:val="20"/>
          <w:szCs w:val="20"/>
        </w:rPr>
        <w:t xml:space="preserve">Incorrect — the histology described doesn't fit adenoid cystic carcinoma, and this presentation doesn't require immediate aggressive chemoradiotherapy.</w:t>
      </w:r>
    </w:p>
    <w:p>
      <w:pPr>
        <w:spacing w:after="40"/>
        <w:ind w:left="360"/>
      </w:pPr>
      <w:r>
        <w:rPr>
          <w:b/>
          <w:bCs/>
          <w:sz w:val="20"/>
          <w:szCs w:val="20"/>
        </w:rPr>
        <w:t xml:space="preserve">C) </w:t>
      </w:r>
      <w:r>
        <w:rPr>
          <w:sz w:val="20"/>
          <w:szCs w:val="20"/>
        </w:rPr>
        <w:t xml:space="preserve">Incorrect — histology doesn't match mucoepidermoid carcinoma, and immediate radical neck dissection isn't indicated without nodal disease.</w:t>
      </w:r>
    </w:p>
    <w:p>
      <w:pPr>
        <w:spacing w:after="40"/>
        <w:ind w:left="360"/>
      </w:pPr>
      <w:r>
        <w:rPr>
          <w:b/>
          <w:bCs/>
          <w:sz w:val="20"/>
          <w:szCs w:val="20"/>
        </w:rPr>
        <w:t xml:space="preserve">D) </w:t>
      </w:r>
      <w:r>
        <w:rPr>
          <w:sz w:val="20"/>
          <w:szCs w:val="20"/>
        </w:rPr>
        <w:t xml:space="preserve">Incorrect — pleomorphic adenoma is benign, not a malignant tumor with acinar differentiation.</w:t>
      </w:r>
    </w:p>
    <w:p>
      <w:pPr>
        <w:spacing w:after="40"/>
        <w:ind w:left="360"/>
      </w:pPr>
      <w:r>
        <w:rPr>
          <w:b/>
          <w:bCs/>
          <w:sz w:val="20"/>
          <w:szCs w:val="20"/>
        </w:rPr>
        <w:t xml:space="preserve">E) </w:t>
      </w:r>
      <w:r>
        <w:rPr>
          <w:sz w:val="20"/>
          <w:szCs w:val="20"/>
        </w:rPr>
        <w:t xml:space="preserve">Incorrect — sialadenosis is non-neoplastic and bilateral, not a discrete malignant unilateral mass.</w:t>
      </w:r>
    </w:p>
    <w:p>
      <w:pPr>
        <w:spacing w:after="200"/>
      </w:pPr>
      <w:r>
        <w:rPr>
          <w:i/>
          <w:iCs/>
          <w:color w:val="595959"/>
          <w:sz w:val="16"/>
          <w:szCs w:val="16"/>
        </w:rPr>
        <w:t xml:space="preserve">Source: PMC — Low-Grade Acinic Cell Carcinoma of the Parotid Gland in a Young Adult — https://pmc.ncbi.nlm.nih.gov/articles/PMC12558568/</w:t>
      </w:r>
    </w:p>
    <w:p>
      <w:r>
        <w:br w:type="page"/>
      </w:r>
    </w:p>
    <w:p>
      <w:pPr>
        <w:pStyle w:val="Heading1"/>
        <w:pBdr>
          <w:bottom w:val="single" w:color="C00000" w:sz="8" w:space="4"/>
        </w:pBdr>
        <w:spacing w:after="300"/>
      </w:pPr>
      <w:r>
        <w:rPr>
          <w:b/>
          <w:bCs/>
          <w:color w:val="C00000"/>
          <w:sz w:val="32"/>
          <w:szCs w:val="32"/>
        </w:rPr>
        <w:t xml:space="preserve">Section 4: Posterior Urethral Valves</w:t>
      </w:r>
    </w:p>
    <w:p>
      <w:pPr>
        <w:spacing w:after="120" w:before="300"/>
      </w:pPr>
      <w:r>
        <w:rPr>
          <w:b/>
          <w:bCs/>
          <w:sz w:val="24"/>
          <w:szCs w:val="24"/>
        </w:rPr>
        <w:t xml:space="preserve">1. </w:t>
      </w:r>
      <w:r>
        <w:rPr>
          <w:sz w:val="24"/>
          <w:szCs w:val="24"/>
        </w:rPr>
        <w:t xml:space="preserve">A male neonate is noted to have a weak urinary stream and a palpably distended bladder shortly after birth, with a history of reduced amniotic fluid noted antenatally. The team suspects a congenital anomaly that is the most common cause of lower urinary tract obstruction in male infants.</w:t>
      </w:r>
    </w:p>
    <w:p>
      <w:pPr>
        <w:spacing w:after="120"/>
      </w:pPr>
      <w:r>
        <w:rPr>
          <w:i/>
          <w:iCs/>
          <w:sz w:val="24"/>
          <w:szCs w:val="24"/>
        </w:rPr>
        <w:t xml:space="preserve">What is the most likely diagnosis, and in which sex does this condition occur?</w:t>
      </w:r>
    </w:p>
    <w:p>
      <w:pPr>
        <w:spacing w:after="60"/>
        <w:ind w:left="360"/>
      </w:pPr>
      <w:r>
        <w:rPr>
          <w:b/>
          <w:bCs/>
          <w:sz w:val="22"/>
          <w:szCs w:val="22"/>
        </w:rPr>
        <w:t xml:space="preserve">A) </w:t>
      </w:r>
      <w:r>
        <w:rPr>
          <w:sz w:val="22"/>
          <w:szCs w:val="22"/>
        </w:rPr>
        <w:t xml:space="preserve">Bladder exstrophy; occurs equally in males and females</w:t>
      </w:r>
    </w:p>
    <w:p>
      <w:pPr>
        <w:spacing w:after="60"/>
        <w:ind w:left="360"/>
      </w:pPr>
      <w:r>
        <w:rPr>
          <w:b/>
          <w:bCs/>
          <w:sz w:val="22"/>
          <w:szCs w:val="22"/>
        </w:rPr>
        <w:t xml:space="preserve">B) </w:t>
      </w:r>
      <w:r>
        <w:rPr>
          <w:sz w:val="22"/>
          <w:szCs w:val="22"/>
        </w:rPr>
        <w:t xml:space="preserve">Posterior urethral valves; occurs exclusively in males</w:t>
      </w:r>
    </w:p>
    <w:p>
      <w:pPr>
        <w:spacing w:after="60"/>
        <w:ind w:left="360"/>
      </w:pPr>
      <w:r>
        <w:rPr>
          <w:b/>
          <w:bCs/>
          <w:sz w:val="22"/>
          <w:szCs w:val="22"/>
        </w:rPr>
        <w:t xml:space="preserve">C) </w:t>
      </w:r>
      <w:r>
        <w:rPr>
          <w:sz w:val="22"/>
          <w:szCs w:val="22"/>
        </w:rPr>
        <w:t xml:space="preserve">Ureterocele; occurs exclusively in females</w:t>
      </w:r>
    </w:p>
    <w:p>
      <w:pPr>
        <w:spacing w:after="60"/>
        <w:ind w:left="360"/>
      </w:pPr>
      <w:r>
        <w:rPr>
          <w:b/>
          <w:bCs/>
          <w:sz w:val="22"/>
          <w:szCs w:val="22"/>
        </w:rPr>
        <w:t xml:space="preserve">D) </w:t>
      </w:r>
      <w:r>
        <w:rPr>
          <w:sz w:val="22"/>
          <w:szCs w:val="22"/>
        </w:rPr>
        <w:t xml:space="preserve">Urethral duplication; occurs equally in males and females</w:t>
      </w:r>
    </w:p>
    <w:p>
      <w:pPr>
        <w:spacing w:after="60"/>
        <w:ind w:left="360"/>
      </w:pPr>
      <w:r>
        <w:rPr>
          <w:b/>
          <w:bCs/>
          <w:sz w:val="22"/>
          <w:szCs w:val="22"/>
        </w:rPr>
        <w:t xml:space="preserve">E) </w:t>
      </w:r>
      <w:r>
        <w:rPr>
          <w:sz w:val="22"/>
          <w:szCs w:val="22"/>
        </w:rPr>
        <w:t xml:space="preserve">Vesicoureteral reflux; occurs exclusively in males</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bladder exstrophy shows an open bladder plate on the abdominal wall, not obstruction.</w:t>
      </w:r>
    </w:p>
    <w:p>
      <w:pPr>
        <w:spacing w:after="40"/>
        <w:ind w:left="360"/>
      </w:pPr>
      <w:r>
        <w:rPr>
          <w:b/>
          <w:bCs/>
          <w:sz w:val="20"/>
          <w:szCs w:val="20"/>
        </w:rPr>
        <w:t xml:space="preserve">B) </w:t>
      </w:r>
      <w:r>
        <w:rPr>
          <w:sz w:val="20"/>
          <w:szCs w:val="20"/>
        </w:rPr>
        <w:t xml:space="preserve">Correct — PUV is the most common congenital cause of bladder outlet obstruction in male infants, occurring exclusively in males (approximately 1:5,000–8,000 live births).</w:t>
      </w:r>
    </w:p>
    <w:p>
      <w:pPr>
        <w:spacing w:after="40"/>
        <w:ind w:left="360"/>
      </w:pPr>
      <w:r>
        <w:rPr>
          <w:b/>
          <w:bCs/>
          <w:sz w:val="20"/>
          <w:szCs w:val="20"/>
        </w:rPr>
        <w:t xml:space="preserve">C) </w:t>
      </w:r>
      <w:r>
        <w:rPr>
          <w:sz w:val="20"/>
          <w:szCs w:val="20"/>
        </w:rPr>
        <w:t xml:space="preserve">Incorrect — ureterocele isn't sex-exclusive and doesn't present this way.</w:t>
      </w:r>
    </w:p>
    <w:p>
      <w:pPr>
        <w:spacing w:after="40"/>
        <w:ind w:left="360"/>
      </w:pPr>
      <w:r>
        <w:rPr>
          <w:b/>
          <w:bCs/>
          <w:sz w:val="20"/>
          <w:szCs w:val="20"/>
        </w:rPr>
        <w:t xml:space="preserve">D) </w:t>
      </w:r>
      <w:r>
        <w:rPr>
          <w:sz w:val="20"/>
          <w:szCs w:val="20"/>
        </w:rPr>
        <w:t xml:space="preserve">Incorrect — urethral duplication is rare and doesn't fit this classic picture.</w:t>
      </w:r>
    </w:p>
    <w:p>
      <w:pPr>
        <w:spacing w:after="40"/>
        <w:ind w:left="360"/>
      </w:pPr>
      <w:r>
        <w:rPr>
          <w:b/>
          <w:bCs/>
          <w:sz w:val="20"/>
          <w:szCs w:val="20"/>
        </w:rPr>
        <w:t xml:space="preserve">E) </w:t>
      </w:r>
      <w:r>
        <w:rPr>
          <w:sz w:val="20"/>
          <w:szCs w:val="20"/>
        </w:rPr>
        <w:t xml:space="preserve">Incorrect — VUR alone doesn't cause outlet obstruction and isn't male-exclusive.</w:t>
      </w:r>
    </w:p>
    <w:p>
      <w:pPr>
        <w:spacing w:after="200"/>
      </w:pPr>
      <w:r>
        <w:rPr>
          <w:i/>
          <w:iCs/>
          <w:color w:val="595959"/>
          <w:sz w:val="16"/>
          <w:szCs w:val="16"/>
        </w:rPr>
        <w:t xml:space="preserve">Source: StatPearls — Posterior Urethral Valves — https://www.ncbi.nlm.nih.gov/books/NBK560881/</w:t>
      </w:r>
    </w:p>
    <w:p>
      <w:pPr>
        <w:spacing w:after="120" w:before="300"/>
      </w:pPr>
      <w:r>
        <w:rPr>
          <w:b/>
          <w:bCs/>
          <w:sz w:val="24"/>
          <w:szCs w:val="24"/>
        </w:rPr>
        <w:t xml:space="preserve">2. </w:t>
      </w:r>
      <w:r>
        <w:rPr>
          <w:sz w:val="24"/>
          <w:szCs w:val="24"/>
        </w:rPr>
        <w:t xml:space="preserve">A routine 28-week antenatal ultrasound in a male fetus shows bilateral hydronephrosis, a thick-walled, distended bladder that fails to empty on repeat scanning, and a dilated proximal urethra producing a characteristic dilated bladder neck appearance. Amniotic fluid volume is noted to be reduced.</w:t>
      </w:r>
    </w:p>
    <w:p>
      <w:pPr>
        <w:spacing w:after="120"/>
      </w:pPr>
      <w:r>
        <w:rPr>
          <w:i/>
          <w:iCs/>
          <w:sz w:val="24"/>
          <w:szCs w:val="24"/>
        </w:rPr>
        <w:t xml:space="preserve">What is this characteristic ultrasound finding called, and what is the mechanism of the reduced amniotic fluid?</w:t>
      </w:r>
    </w:p>
    <w:p>
      <w:pPr>
        <w:spacing w:after="60"/>
        <w:ind w:left="360"/>
      </w:pPr>
      <w:r>
        <w:rPr>
          <w:b/>
          <w:bCs/>
          <w:sz w:val="22"/>
          <w:szCs w:val="22"/>
        </w:rPr>
        <w:t xml:space="preserve">A) </w:t>
      </w:r>
      <w:r>
        <w:rPr>
          <w:sz w:val="22"/>
          <w:szCs w:val="22"/>
        </w:rPr>
        <w:t xml:space="preserve">"Double bubble" sign; caused by duodenal atresia</w:t>
      </w:r>
    </w:p>
    <w:p>
      <w:pPr>
        <w:spacing w:after="60"/>
        <w:ind w:left="360"/>
      </w:pPr>
      <w:r>
        <w:rPr>
          <w:b/>
          <w:bCs/>
          <w:sz w:val="22"/>
          <w:szCs w:val="22"/>
        </w:rPr>
        <w:t xml:space="preserve">B) </w:t>
      </w:r>
      <w:r>
        <w:rPr>
          <w:sz w:val="22"/>
          <w:szCs w:val="22"/>
        </w:rPr>
        <w:t xml:space="preserve">"Keyhole" sign; caused by reduced fetal urine output from lower urinary tract obstruction</w:t>
      </w:r>
    </w:p>
    <w:p>
      <w:pPr>
        <w:spacing w:after="60"/>
        <w:ind w:left="360"/>
      </w:pPr>
      <w:r>
        <w:rPr>
          <w:b/>
          <w:bCs/>
          <w:sz w:val="22"/>
          <w:szCs w:val="22"/>
        </w:rPr>
        <w:t xml:space="preserve">C) </w:t>
      </w:r>
      <w:r>
        <w:rPr>
          <w:sz w:val="22"/>
          <w:szCs w:val="22"/>
        </w:rPr>
        <w:t xml:space="preserve">"Lemon" sign; caused by neural tube defect</w:t>
      </w:r>
    </w:p>
    <w:p>
      <w:pPr>
        <w:spacing w:after="60"/>
        <w:ind w:left="360"/>
      </w:pPr>
      <w:r>
        <w:rPr>
          <w:b/>
          <w:bCs/>
          <w:sz w:val="22"/>
          <w:szCs w:val="22"/>
        </w:rPr>
        <w:t xml:space="preserve">D) </w:t>
      </w:r>
      <w:r>
        <w:rPr>
          <w:sz w:val="22"/>
          <w:szCs w:val="22"/>
        </w:rPr>
        <w:t xml:space="preserve">"Rat tail" sign; caused by esophageal atresia</w:t>
      </w:r>
    </w:p>
    <w:p>
      <w:pPr>
        <w:spacing w:after="60"/>
        <w:ind w:left="360"/>
      </w:pPr>
      <w:r>
        <w:rPr>
          <w:b/>
          <w:bCs/>
          <w:sz w:val="22"/>
          <w:szCs w:val="22"/>
        </w:rPr>
        <w:t xml:space="preserve">E) </w:t>
      </w:r>
      <w:r>
        <w:rPr>
          <w:sz w:val="22"/>
          <w:szCs w:val="22"/>
        </w:rPr>
        <w:t xml:space="preserve">"String" sign; caused by pyloric stenosis</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an unrelated sign/mechanism from a different congenital anomaly.</w:t>
      </w:r>
    </w:p>
    <w:p>
      <w:pPr>
        <w:spacing w:after="40"/>
        <w:ind w:left="360"/>
      </w:pPr>
      <w:r>
        <w:rPr>
          <w:b/>
          <w:bCs/>
          <w:sz w:val="20"/>
          <w:szCs w:val="20"/>
        </w:rPr>
        <w:t xml:space="preserve">B) </w:t>
      </w:r>
      <w:r>
        <w:rPr>
          <w:sz w:val="20"/>
          <w:szCs w:val="20"/>
        </w:rPr>
        <w:t xml:space="preserve">Correct — the dilated posterior urethra with distended bladder produces the classic "keyhole" sign; since amniotic fluid is largely fetal urine after mid-gestation, obstruction causes oligohydramnios.</w:t>
      </w:r>
    </w:p>
    <w:p>
      <w:pPr>
        <w:spacing w:after="40"/>
        <w:ind w:left="360"/>
      </w:pPr>
      <w:r>
        <w:rPr>
          <w:b/>
          <w:bCs/>
          <w:sz w:val="20"/>
          <w:szCs w:val="20"/>
        </w:rPr>
        <w:t xml:space="preserve">C) </w:t>
      </w:r>
      <w:r>
        <w:rPr>
          <w:sz w:val="20"/>
          <w:szCs w:val="20"/>
        </w:rPr>
        <w:t xml:space="preserve">Incorrect — "lemon sign" is associated with spina bifida, unrelated.</w:t>
      </w:r>
    </w:p>
    <w:p>
      <w:pPr>
        <w:spacing w:after="40"/>
        <w:ind w:left="360"/>
      </w:pPr>
      <w:r>
        <w:rPr>
          <w:b/>
          <w:bCs/>
          <w:sz w:val="20"/>
          <w:szCs w:val="20"/>
        </w:rPr>
        <w:t xml:space="preserve">D) </w:t>
      </w:r>
      <w:r>
        <w:rPr>
          <w:sz w:val="20"/>
          <w:szCs w:val="20"/>
        </w:rPr>
        <w:t xml:space="preserve">Incorrect — an unrelated finding.</w:t>
      </w:r>
    </w:p>
    <w:p>
      <w:pPr>
        <w:spacing w:after="40"/>
        <w:ind w:left="360"/>
      </w:pPr>
      <w:r>
        <w:rPr>
          <w:b/>
          <w:bCs/>
          <w:sz w:val="20"/>
          <w:szCs w:val="20"/>
        </w:rPr>
        <w:t xml:space="preserve">E) </w:t>
      </w:r>
      <w:r>
        <w:rPr>
          <w:sz w:val="20"/>
          <w:szCs w:val="20"/>
        </w:rPr>
        <w:t xml:space="preserve">Incorrect — "string sign" is a pyloric stenosis finding, unrelated to PUV.</w:t>
      </w:r>
    </w:p>
    <w:p>
      <w:pPr>
        <w:spacing w:after="200"/>
      </w:pPr>
      <w:r>
        <w:rPr>
          <w:i/>
          <w:iCs/>
          <w:color w:val="595959"/>
          <w:sz w:val="16"/>
          <w:szCs w:val="16"/>
        </w:rPr>
        <w:t xml:space="preserve">Source: PMC — Antenatally Diagnosed Posterior Urethral Valves — https://pmc.ncbi.nlm.nih.gov/articles/PMC4920925/</w:t>
      </w:r>
    </w:p>
    <w:p>
      <w:pPr>
        <w:spacing w:after="120" w:before="300"/>
      </w:pPr>
      <w:r>
        <w:rPr>
          <w:b/>
          <w:bCs/>
          <w:sz w:val="24"/>
          <w:szCs w:val="24"/>
        </w:rPr>
        <w:t xml:space="preserve">3. </w:t>
      </w:r>
      <w:r>
        <w:rPr>
          <w:sz w:val="24"/>
          <w:szCs w:val="24"/>
        </w:rPr>
        <w:t xml:space="preserve">A term male neonate has not passed urine in the first 24 hours of life. On examination, he has a palpable suprapubic mass and a poor urinary stream once he does void. His parents also note the antenatal scan had shown reduced amniotic fluid.</w:t>
      </w:r>
    </w:p>
    <w:p>
      <w:pPr>
        <w:spacing w:after="120"/>
      </w:pPr>
      <w:r>
        <w:rPr>
          <w:i/>
          <w:iCs/>
          <w:sz w:val="24"/>
          <w:szCs w:val="24"/>
        </w:rPr>
        <w:t xml:space="preserve">Which clinical clue in this vignette should be considered a "red flag" prompting urgent evaluation for this condition?</w:t>
      </w:r>
    </w:p>
    <w:p>
      <w:pPr>
        <w:spacing w:after="60"/>
        <w:ind w:left="360"/>
      </w:pPr>
      <w:r>
        <w:rPr>
          <w:b/>
          <w:bCs/>
          <w:sz w:val="22"/>
          <w:szCs w:val="22"/>
        </w:rPr>
        <w:t xml:space="preserve">A) </w:t>
      </w:r>
      <w:r>
        <w:rPr>
          <w:sz w:val="22"/>
          <w:szCs w:val="22"/>
        </w:rPr>
        <w:t xml:space="preserve">Failure to void within the first 24 hours of life</w:t>
      </w:r>
    </w:p>
    <w:p>
      <w:pPr>
        <w:spacing w:after="60"/>
        <w:ind w:left="360"/>
      </w:pPr>
      <w:r>
        <w:rPr>
          <w:b/>
          <w:bCs/>
          <w:sz w:val="22"/>
          <w:szCs w:val="22"/>
        </w:rPr>
        <w:t xml:space="preserve">B) </w:t>
      </w:r>
      <w:r>
        <w:rPr>
          <w:sz w:val="22"/>
          <w:szCs w:val="22"/>
        </w:rPr>
        <w:t xml:space="preserve">Normal antenatal anatomy scan</w:t>
      </w:r>
    </w:p>
    <w:p>
      <w:pPr>
        <w:spacing w:after="60"/>
        <w:ind w:left="360"/>
      </w:pPr>
      <w:r>
        <w:rPr>
          <w:b/>
          <w:bCs/>
          <w:sz w:val="22"/>
          <w:szCs w:val="22"/>
        </w:rPr>
        <w:t xml:space="preserve">C) </w:t>
      </w:r>
      <w:r>
        <w:rPr>
          <w:sz w:val="22"/>
          <w:szCs w:val="22"/>
        </w:rPr>
        <w:t xml:space="preserve">Normal birth weight</w:t>
      </w:r>
    </w:p>
    <w:p>
      <w:pPr>
        <w:spacing w:after="60"/>
        <w:ind w:left="360"/>
      </w:pPr>
      <w:r>
        <w:rPr>
          <w:b/>
          <w:bCs/>
          <w:sz w:val="22"/>
          <w:szCs w:val="22"/>
        </w:rPr>
        <w:t xml:space="preserve">D) </w:t>
      </w:r>
      <w:r>
        <w:rPr>
          <w:sz w:val="22"/>
          <w:szCs w:val="22"/>
        </w:rPr>
        <w:t xml:space="preserve">Passing meconium on day 1</w:t>
      </w:r>
    </w:p>
    <w:p>
      <w:pPr>
        <w:spacing w:after="60"/>
        <w:ind w:left="360"/>
      </w:pPr>
      <w:r>
        <w:rPr>
          <w:b/>
          <w:bCs/>
          <w:sz w:val="22"/>
          <w:szCs w:val="22"/>
        </w:rPr>
        <w:t xml:space="preserve">E) </w:t>
      </w:r>
      <w:r>
        <w:rPr>
          <w:sz w:val="22"/>
          <w:szCs w:val="22"/>
        </w:rPr>
        <w:t xml:space="preserve">Presence of a single umbilical artery</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failure of a newborn to void within 24 hours of life is a recognized red flag for possible PUV, warranting urgent evaluation.</w:t>
      </w:r>
    </w:p>
    <w:p>
      <w:pPr>
        <w:spacing w:after="40"/>
        <w:ind w:left="360"/>
      </w:pPr>
      <w:r>
        <w:rPr>
          <w:b/>
          <w:bCs/>
          <w:sz w:val="20"/>
          <w:szCs w:val="20"/>
        </w:rPr>
        <w:t xml:space="preserve">B) </w:t>
      </w:r>
      <w:r>
        <w:rPr>
          <w:sz w:val="20"/>
          <w:szCs w:val="20"/>
        </w:rPr>
        <w:t xml:space="preserve">Incorrect — the scan here was abnormal, and a normal scan would be reassuring, not a red flag.</w:t>
      </w:r>
    </w:p>
    <w:p>
      <w:pPr>
        <w:spacing w:after="40"/>
        <w:ind w:left="360"/>
      </w:pPr>
      <w:r>
        <w:rPr>
          <w:b/>
          <w:bCs/>
          <w:sz w:val="20"/>
          <w:szCs w:val="20"/>
        </w:rPr>
        <w:t xml:space="preserve">C) </w:t>
      </w:r>
      <w:r>
        <w:rPr>
          <w:sz w:val="20"/>
          <w:szCs w:val="20"/>
        </w:rPr>
        <w:t xml:space="preserve">Incorrect — not related to PUV.</w:t>
      </w:r>
    </w:p>
    <w:p>
      <w:pPr>
        <w:spacing w:after="40"/>
        <w:ind w:left="360"/>
      </w:pPr>
      <w:r>
        <w:rPr>
          <w:b/>
          <w:bCs/>
          <w:sz w:val="20"/>
          <w:szCs w:val="20"/>
        </w:rPr>
        <w:t xml:space="preserve">D) </w:t>
      </w:r>
      <w:r>
        <w:rPr>
          <w:sz w:val="20"/>
          <w:szCs w:val="20"/>
        </w:rPr>
        <w:t xml:space="preserve">Incorrect — a normal finding, not concerning.</w:t>
      </w:r>
    </w:p>
    <w:p>
      <w:pPr>
        <w:spacing w:after="40"/>
        <w:ind w:left="360"/>
      </w:pPr>
      <w:r>
        <w:rPr>
          <w:b/>
          <w:bCs/>
          <w:sz w:val="20"/>
          <w:szCs w:val="20"/>
        </w:rPr>
        <w:t xml:space="preserve">E) </w:t>
      </w:r>
      <w:r>
        <w:rPr>
          <w:sz w:val="20"/>
          <w:szCs w:val="20"/>
        </w:rPr>
        <w:t xml:space="preserve">Incorrect — unrelated to PUV diagnosis.</w:t>
      </w:r>
    </w:p>
    <w:p>
      <w:pPr>
        <w:spacing w:after="200"/>
      </w:pPr>
      <w:r>
        <w:rPr>
          <w:i/>
          <w:iCs/>
          <w:color w:val="595959"/>
          <w:sz w:val="16"/>
          <w:szCs w:val="16"/>
        </w:rPr>
        <w:t xml:space="preserve">Source: PMC — Management of Posterior Urethral Valves in Unstable Premature Babies — https://www.ncbi.nlm.nih.gov/pmc/articles/PMC8157604/</w:t>
      </w:r>
    </w:p>
    <w:p>
      <w:pPr>
        <w:spacing w:after="120" w:before="300"/>
      </w:pPr>
      <w:r>
        <w:rPr>
          <w:b/>
          <w:bCs/>
          <w:sz w:val="24"/>
          <w:szCs w:val="24"/>
        </w:rPr>
        <w:t xml:space="preserve">4. </w:t>
      </w:r>
      <w:r>
        <w:rPr>
          <w:sz w:val="24"/>
          <w:szCs w:val="24"/>
        </w:rPr>
        <w:t xml:space="preserve">A 2-week-old boy with antenatally suspected posterior urethral valves undergoes a contrast study performed while he voids around a catheter. The study demonstrates a dilated and elongated posterior urethra with an abrupt transition to a normal-caliber anterior urethra, along with a thick-walled, trabeculated bladder.</w:t>
      </w:r>
    </w:p>
    <w:p>
      <w:pPr>
        <w:spacing w:after="120"/>
      </w:pPr>
      <w:r>
        <w:rPr>
          <w:i/>
          <w:iCs/>
          <w:sz w:val="24"/>
          <w:szCs w:val="24"/>
        </w:rPr>
        <w:t xml:space="preserve">What is this investigation, and what is its role in diagnosing this condition?</w:t>
      </w:r>
    </w:p>
    <w:p>
      <w:pPr>
        <w:spacing w:after="60"/>
        <w:ind w:left="360"/>
      </w:pPr>
      <w:r>
        <w:rPr>
          <w:b/>
          <w:bCs/>
          <w:sz w:val="22"/>
          <w:szCs w:val="22"/>
        </w:rPr>
        <w:t xml:space="preserve">A) </w:t>
      </w:r>
      <w:r>
        <w:rPr>
          <w:sz w:val="22"/>
          <w:szCs w:val="22"/>
        </w:rPr>
        <w:t xml:space="preserve">Intravenous urogram; adjunctive test, rarely used</w:t>
      </w:r>
    </w:p>
    <w:p>
      <w:pPr>
        <w:spacing w:after="60"/>
        <w:ind w:left="360"/>
      </w:pPr>
      <w:r>
        <w:rPr>
          <w:b/>
          <w:bCs/>
          <w:sz w:val="22"/>
          <w:szCs w:val="22"/>
        </w:rPr>
        <w:t xml:space="preserve">B) </w:t>
      </w:r>
      <w:r>
        <w:rPr>
          <w:sz w:val="22"/>
          <w:szCs w:val="22"/>
        </w:rPr>
        <w:t xml:space="preserve">Micturating/voiding cystourethrogram (VCUG); the gold-standard investigation for diagnosis</w:t>
      </w:r>
    </w:p>
    <w:p>
      <w:pPr>
        <w:spacing w:after="60"/>
        <w:ind w:left="360"/>
      </w:pPr>
      <w:r>
        <w:rPr>
          <w:b/>
          <w:bCs/>
          <w:sz w:val="22"/>
          <w:szCs w:val="22"/>
        </w:rPr>
        <w:t xml:space="preserve">C) </w:t>
      </w:r>
      <w:r>
        <w:rPr>
          <w:sz w:val="22"/>
          <w:szCs w:val="22"/>
        </w:rPr>
        <w:t xml:space="preserve">MRI urography; the first-line screening test in neonates</w:t>
      </w:r>
    </w:p>
    <w:p>
      <w:pPr>
        <w:spacing w:after="60"/>
        <w:ind w:left="360"/>
      </w:pPr>
      <w:r>
        <w:rPr>
          <w:b/>
          <w:bCs/>
          <w:sz w:val="22"/>
          <w:szCs w:val="22"/>
        </w:rPr>
        <w:t xml:space="preserve">D) </w:t>
      </w:r>
      <w:r>
        <w:rPr>
          <w:sz w:val="22"/>
          <w:szCs w:val="22"/>
        </w:rPr>
        <w:t xml:space="preserve">Renal ultrasound; the gold-standard investigation for diagnosis</w:t>
      </w:r>
    </w:p>
    <w:p>
      <w:pPr>
        <w:spacing w:after="60"/>
        <w:ind w:left="360"/>
      </w:pPr>
      <w:r>
        <w:rPr>
          <w:b/>
          <w:bCs/>
          <w:sz w:val="22"/>
          <w:szCs w:val="22"/>
        </w:rPr>
        <w:t xml:space="preserve">E) </w:t>
      </w:r>
      <w:r>
        <w:rPr>
          <w:sz w:val="22"/>
          <w:szCs w:val="22"/>
        </w:rPr>
        <w:t xml:space="preserve">Retrograde urethrogram; the gold-standard investigation for diagnosis</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IVU is not the diagnostic test of choice.</w:t>
      </w:r>
    </w:p>
    <w:p>
      <w:pPr>
        <w:spacing w:after="40"/>
        <w:ind w:left="360"/>
      </w:pPr>
      <w:r>
        <w:rPr>
          <w:b/>
          <w:bCs/>
          <w:sz w:val="20"/>
          <w:szCs w:val="20"/>
        </w:rPr>
        <w:t xml:space="preserve">B) </w:t>
      </w:r>
      <w:r>
        <w:rPr>
          <w:sz w:val="20"/>
          <w:szCs w:val="20"/>
        </w:rPr>
        <w:t xml:space="preserve">Correct — the voiding cystourethrogram (VCUG) is the gold-standard imaging investigation for diagnosing PUV, showing the dilated posterior urethra with abrupt caliber change and secondary bladder changes.</w:t>
      </w:r>
    </w:p>
    <w:p>
      <w:pPr>
        <w:spacing w:after="40"/>
        <w:ind w:left="360"/>
      </w:pPr>
      <w:r>
        <w:rPr>
          <w:b/>
          <w:bCs/>
          <w:sz w:val="20"/>
          <w:szCs w:val="20"/>
        </w:rPr>
        <w:t xml:space="preserve">C) </w:t>
      </w:r>
      <w:r>
        <w:rPr>
          <w:sz w:val="20"/>
          <w:szCs w:val="20"/>
        </w:rPr>
        <w:t xml:space="preserve">Incorrect — MRI urography is not first-line for this diagnosis.</w:t>
      </w:r>
    </w:p>
    <w:p>
      <w:pPr>
        <w:spacing w:after="40"/>
        <w:ind w:left="360"/>
      </w:pPr>
      <w:r>
        <w:rPr>
          <w:b/>
          <w:bCs/>
          <w:sz w:val="20"/>
          <w:szCs w:val="20"/>
        </w:rPr>
        <w:t xml:space="preserve">D) </w:t>
      </w:r>
      <w:r>
        <w:rPr>
          <w:sz w:val="20"/>
          <w:szCs w:val="20"/>
        </w:rPr>
        <w:t xml:space="preserve">Incorrect — ultrasound is useful for screening/monitoring but is not the gold standard for definitive diagnosis.</w:t>
      </w:r>
    </w:p>
    <w:p>
      <w:pPr>
        <w:spacing w:after="40"/>
        <w:ind w:left="360"/>
      </w:pPr>
      <w:r>
        <w:rPr>
          <w:b/>
          <w:bCs/>
          <w:sz w:val="20"/>
          <w:szCs w:val="20"/>
        </w:rPr>
        <w:t xml:space="preserve">E) </w:t>
      </w:r>
      <w:r>
        <w:rPr>
          <w:sz w:val="20"/>
          <w:szCs w:val="20"/>
        </w:rPr>
        <w:t xml:space="preserve">Incorrect — a voiding, not retrograde, study is required to demonstrate the valve.</w:t>
      </w:r>
    </w:p>
    <w:p>
      <w:pPr>
        <w:spacing w:after="200"/>
      </w:pPr>
      <w:r>
        <w:rPr>
          <w:i/>
          <w:iCs/>
          <w:color w:val="595959"/>
          <w:sz w:val="16"/>
          <w:szCs w:val="16"/>
        </w:rPr>
        <w:t xml:space="preserve">Source: PMC — VCUG in Posterior Urethral Valve Diagnosis and Prognosis — https://pmc.ncbi.nlm.nih.gov/articles/PMC11968035/</w:t>
      </w:r>
    </w:p>
    <w:p>
      <w:pPr>
        <w:spacing w:after="120" w:before="300"/>
      </w:pPr>
      <w:r>
        <w:rPr>
          <w:b/>
          <w:bCs/>
          <w:sz w:val="24"/>
          <w:szCs w:val="24"/>
        </w:rPr>
        <w:t xml:space="preserve">5. </w:t>
      </w:r>
      <w:r>
        <w:rPr>
          <w:sz w:val="24"/>
          <w:szCs w:val="24"/>
        </w:rPr>
        <w:t xml:space="preserve">During cystoscopy in a neonate with confirmed posterior urethral valves, the surgeon identifies obstructing mucosal folds arising from the caudal verumontanum that extend distally along the lateral walls of the urethra and fuse anteriorly. This is the most common histological subtype, accounting for the vast majority of cases.</w:t>
      </w:r>
    </w:p>
    <w:p>
      <w:pPr>
        <w:spacing w:after="120"/>
      </w:pPr>
      <w:r>
        <w:rPr>
          <w:i/>
          <w:iCs/>
          <w:sz w:val="24"/>
          <w:szCs w:val="24"/>
        </w:rPr>
        <w:t xml:space="preserve">According to Young's classification, which type of posterior urethral valve is being described, and what proportion of cases does it represent?</w:t>
      </w:r>
    </w:p>
    <w:p>
      <w:pPr>
        <w:spacing w:after="60"/>
        <w:ind w:left="360"/>
      </w:pPr>
      <w:r>
        <w:rPr>
          <w:b/>
          <w:bCs/>
          <w:sz w:val="22"/>
          <w:szCs w:val="22"/>
        </w:rPr>
        <w:t xml:space="preserve">A) </w:t>
      </w:r>
      <w:r>
        <w:rPr>
          <w:sz w:val="22"/>
          <w:szCs w:val="22"/>
        </w:rPr>
        <w:t xml:space="preserve">Type I; approximately 95% of cases</w:t>
      </w:r>
    </w:p>
    <w:p>
      <w:pPr>
        <w:spacing w:after="60"/>
        <w:ind w:left="360"/>
      </w:pPr>
      <w:r>
        <w:rPr>
          <w:b/>
          <w:bCs/>
          <w:sz w:val="22"/>
          <w:szCs w:val="22"/>
        </w:rPr>
        <w:t xml:space="preserve">B) </w:t>
      </w:r>
      <w:r>
        <w:rPr>
          <w:sz w:val="22"/>
          <w:szCs w:val="22"/>
        </w:rPr>
        <w:t xml:space="preserve">Type I; approximately 5% of cases</w:t>
      </w:r>
    </w:p>
    <w:p>
      <w:pPr>
        <w:spacing w:after="60"/>
        <w:ind w:left="360"/>
      </w:pPr>
      <w:r>
        <w:rPr>
          <w:b/>
          <w:bCs/>
          <w:sz w:val="22"/>
          <w:szCs w:val="22"/>
        </w:rPr>
        <w:t xml:space="preserve">C) </w:t>
      </w:r>
      <w:r>
        <w:rPr>
          <w:sz w:val="22"/>
          <w:szCs w:val="22"/>
        </w:rPr>
        <w:t xml:space="preserve">Type II; approximately 50% of cases (now considered obsolete)</w:t>
      </w:r>
    </w:p>
    <w:p>
      <w:pPr>
        <w:spacing w:after="60"/>
        <w:ind w:left="360"/>
      </w:pPr>
      <w:r>
        <w:rPr>
          <w:b/>
          <w:bCs/>
          <w:sz w:val="22"/>
          <w:szCs w:val="22"/>
        </w:rPr>
        <w:t xml:space="preserve">D) </w:t>
      </w:r>
      <w:r>
        <w:rPr>
          <w:sz w:val="22"/>
          <w:szCs w:val="22"/>
        </w:rPr>
        <w:t xml:space="preserve">Type III; approximately 95% of cases</w:t>
      </w:r>
    </w:p>
    <w:p>
      <w:pPr>
        <w:spacing w:after="60"/>
        <w:ind w:left="360"/>
      </w:pPr>
      <w:r>
        <w:rPr>
          <w:b/>
          <w:bCs/>
          <w:sz w:val="22"/>
          <w:szCs w:val="22"/>
        </w:rPr>
        <w:t xml:space="preserve">E) </w:t>
      </w:r>
      <w:r>
        <w:rPr>
          <w:sz w:val="22"/>
          <w:szCs w:val="22"/>
        </w:rPr>
        <w:t xml:space="preserve">Type III; approximately 5% of cases</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Type I valves, arising from the caudal verumontanum and fusing anteriorly, are by far the most common form, accounting for approximately 95% of cases.</w:t>
      </w:r>
    </w:p>
    <w:p>
      <w:pPr>
        <w:spacing w:after="40"/>
        <w:ind w:left="360"/>
      </w:pPr>
      <w:r>
        <w:rPr>
          <w:b/>
          <w:bCs/>
          <w:sz w:val="20"/>
          <w:szCs w:val="20"/>
        </w:rPr>
        <w:t xml:space="preserve">B) </w:t>
      </w:r>
      <w:r>
        <w:rPr>
          <w:sz w:val="20"/>
          <w:szCs w:val="20"/>
        </w:rPr>
        <w:t xml:space="preserve">Incorrect — the wrong percentage; Type I is the majority, not the minority.</w:t>
      </w:r>
    </w:p>
    <w:p>
      <w:pPr>
        <w:spacing w:after="40"/>
        <w:ind w:left="360"/>
      </w:pPr>
      <w:r>
        <w:rPr>
          <w:b/>
          <w:bCs/>
          <w:sz w:val="20"/>
          <w:szCs w:val="20"/>
        </w:rPr>
        <w:t xml:space="preserve">C) </w:t>
      </w:r>
      <w:r>
        <w:rPr>
          <w:sz w:val="20"/>
          <w:szCs w:val="20"/>
        </w:rPr>
        <w:t xml:space="preserve">Incorrect — Type II is now considered a normal variant/obsolete category, not this pattern, and not 50%.</w:t>
      </w:r>
    </w:p>
    <w:p>
      <w:pPr>
        <w:spacing w:after="40"/>
        <w:ind w:left="360"/>
      </w:pPr>
      <w:r>
        <w:rPr>
          <w:b/>
          <w:bCs/>
          <w:sz w:val="20"/>
          <w:szCs w:val="20"/>
        </w:rPr>
        <w:t xml:space="preserve">D) </w:t>
      </w:r>
      <w:r>
        <w:rPr>
          <w:sz w:val="20"/>
          <w:szCs w:val="20"/>
        </w:rPr>
        <w:t xml:space="preserve">Incorrect — this description matches Type I, not Type III (a round membrane with a central hole), and Type III is only about 5% of cases.</w:t>
      </w:r>
    </w:p>
    <w:p>
      <w:pPr>
        <w:spacing w:after="40"/>
        <w:ind w:left="360"/>
      </w:pPr>
      <w:r>
        <w:rPr>
          <w:b/>
          <w:bCs/>
          <w:sz w:val="20"/>
          <w:szCs w:val="20"/>
        </w:rPr>
        <w:t xml:space="preserve">E) </w:t>
      </w:r>
      <w:r>
        <w:rPr>
          <w:sz w:val="20"/>
          <w:szCs w:val="20"/>
        </w:rPr>
        <w:t xml:space="preserve">Incorrect — correct percentage for Type III but the wrong description match (this describes Type I, not III).</w:t>
      </w:r>
    </w:p>
    <w:p>
      <w:pPr>
        <w:spacing w:after="200"/>
      </w:pPr>
      <w:r>
        <w:rPr>
          <w:i/>
          <w:iCs/>
          <w:color w:val="595959"/>
          <w:sz w:val="16"/>
          <w:szCs w:val="16"/>
        </w:rPr>
        <w:t xml:space="preserve">Source: StatPearls — Posterior Urethral Valves — https://www.ncbi.nlm.nih.gov/books/NBK560881/</w:t>
      </w:r>
    </w:p>
    <w:p>
      <w:pPr>
        <w:spacing w:after="120" w:before="300"/>
      </w:pPr>
      <w:r>
        <w:rPr>
          <w:b/>
          <w:bCs/>
          <w:sz w:val="24"/>
          <w:szCs w:val="24"/>
        </w:rPr>
        <w:t xml:space="preserve">6. </w:t>
      </w:r>
      <w:r>
        <w:rPr>
          <w:sz w:val="24"/>
          <w:szCs w:val="24"/>
        </w:rPr>
        <w:t xml:space="preserve">A newborn boy is diagnosed with posterior urethral valves on day 1 of life, with a serum creatinine of 1.8 mg/dL and clinical signs of urosepsis. Before any definitive endoscopic procedure, the surgical team stabilizes the infant with bladder drainage, intravenous fluids, and antibiotics.</w:t>
      </w:r>
    </w:p>
    <w:p>
      <w:pPr>
        <w:spacing w:after="120"/>
      </w:pPr>
      <w:r>
        <w:rPr>
          <w:i/>
          <w:iCs/>
          <w:sz w:val="24"/>
          <w:szCs w:val="24"/>
        </w:rPr>
        <w:t xml:space="preserve">What is the most appropriate initial method of bladder drainage in this stabilization phase?</w:t>
      </w:r>
    </w:p>
    <w:p>
      <w:pPr>
        <w:spacing w:after="60"/>
        <w:ind w:left="360"/>
      </w:pPr>
      <w:r>
        <w:rPr>
          <w:b/>
          <w:bCs/>
          <w:sz w:val="22"/>
          <w:szCs w:val="22"/>
        </w:rPr>
        <w:t xml:space="preserve">A) </w:t>
      </w:r>
      <w:r>
        <w:rPr>
          <w:sz w:val="22"/>
          <w:szCs w:val="22"/>
        </w:rPr>
        <w:t xml:space="preserve">Percutaneous nephrostomy bilaterally</w:t>
      </w:r>
    </w:p>
    <w:p>
      <w:pPr>
        <w:spacing w:after="60"/>
        <w:ind w:left="360"/>
      </w:pPr>
      <w:r>
        <w:rPr>
          <w:b/>
          <w:bCs/>
          <w:sz w:val="22"/>
          <w:szCs w:val="22"/>
        </w:rPr>
        <w:t xml:space="preserve">B) </w:t>
      </w:r>
      <w:r>
        <w:rPr>
          <w:sz w:val="22"/>
          <w:szCs w:val="22"/>
        </w:rPr>
        <w:t xml:space="preserve">Suprapubic aspiration only, avoiding any catheter</w:t>
      </w:r>
    </w:p>
    <w:p>
      <w:pPr>
        <w:spacing w:after="60"/>
        <w:ind w:left="360"/>
      </w:pPr>
      <w:r>
        <w:rPr>
          <w:b/>
          <w:bCs/>
          <w:sz w:val="22"/>
          <w:szCs w:val="22"/>
        </w:rPr>
        <w:t xml:space="preserve">C) </w:t>
      </w:r>
      <w:r>
        <w:rPr>
          <w:sz w:val="22"/>
          <w:szCs w:val="22"/>
        </w:rPr>
        <w:t xml:space="preserve">Urethral or feeding tube catheterization</w:t>
      </w:r>
    </w:p>
    <w:p>
      <w:pPr>
        <w:spacing w:after="60"/>
        <w:ind w:left="360"/>
      </w:pPr>
      <w:r>
        <w:rPr>
          <w:b/>
          <w:bCs/>
          <w:sz w:val="22"/>
          <w:szCs w:val="22"/>
        </w:rPr>
        <w:t xml:space="preserve">D) </w:t>
      </w:r>
      <w:r>
        <w:rPr>
          <w:sz w:val="22"/>
          <w:szCs w:val="22"/>
        </w:rPr>
        <w:t xml:space="preserve">Urgent open bladder augmentation</w:t>
      </w:r>
    </w:p>
    <w:p>
      <w:pPr>
        <w:spacing w:after="60"/>
        <w:ind w:left="360"/>
      </w:pPr>
      <w:r>
        <w:rPr>
          <w:b/>
          <w:bCs/>
          <w:sz w:val="22"/>
          <w:szCs w:val="22"/>
        </w:rPr>
        <w:t xml:space="preserve">E) </w:t>
      </w:r>
      <w:r>
        <w:rPr>
          <w:sz w:val="22"/>
          <w:szCs w:val="22"/>
        </w:rPr>
        <w:t xml:space="preserve">Urgent ureteric reimplantation</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bladder-level drainage suffices initially; nephrostomy is not the first step.</w:t>
      </w:r>
    </w:p>
    <w:p>
      <w:pPr>
        <w:spacing w:after="40"/>
        <w:ind w:left="360"/>
      </w:pPr>
      <w:r>
        <w:rPr>
          <w:b/>
          <w:bCs/>
          <w:sz w:val="20"/>
          <w:szCs w:val="20"/>
        </w:rPr>
        <w:t xml:space="preserve">B) </w:t>
      </w:r>
      <w:r>
        <w:rPr>
          <w:sz w:val="20"/>
          <w:szCs w:val="20"/>
        </w:rPr>
        <w:t xml:space="preserve">Incorrect — a single aspiration doesn't provide the ongoing drainage needed.</w:t>
      </w:r>
    </w:p>
    <w:p>
      <w:pPr>
        <w:spacing w:after="40"/>
        <w:ind w:left="360"/>
      </w:pPr>
      <w:r>
        <w:rPr>
          <w:b/>
          <w:bCs/>
          <w:sz w:val="20"/>
          <w:szCs w:val="20"/>
        </w:rPr>
        <w:t xml:space="preserve">C) </w:t>
      </w:r>
      <w:r>
        <w:rPr>
          <w:sz w:val="20"/>
          <w:szCs w:val="20"/>
        </w:rPr>
        <w:t xml:space="preserve">Correct — initial management is catheter drainage of the bladder (urethral catheter or feeding tube) along with IV fluids and antibiotics, to stabilize the infant before definitive treatment.</w:t>
      </w:r>
    </w:p>
    <w:p>
      <w:pPr>
        <w:spacing w:after="40"/>
        <w:ind w:left="360"/>
      </w:pPr>
      <w:r>
        <w:rPr>
          <w:b/>
          <w:bCs/>
          <w:sz w:val="20"/>
          <w:szCs w:val="20"/>
        </w:rPr>
        <w:t xml:space="preserve">D) </w:t>
      </w:r>
      <w:r>
        <w:rPr>
          <w:sz w:val="20"/>
          <w:szCs w:val="20"/>
        </w:rPr>
        <w:t xml:space="preserve">Incorrect — augmentation is never an emergency/initial step in a newborn.</w:t>
      </w:r>
    </w:p>
    <w:p>
      <w:pPr>
        <w:spacing w:after="40"/>
        <w:ind w:left="360"/>
      </w:pPr>
      <w:r>
        <w:rPr>
          <w:b/>
          <w:bCs/>
          <w:sz w:val="20"/>
          <w:szCs w:val="20"/>
        </w:rPr>
        <w:t xml:space="preserve">E) </w:t>
      </w:r>
      <w:r>
        <w:rPr>
          <w:sz w:val="20"/>
          <w:szCs w:val="20"/>
        </w:rPr>
        <w:t xml:space="preserve">Incorrect — reimplantation is not part of initial stabilization.</w:t>
      </w:r>
    </w:p>
    <w:p>
      <w:pPr>
        <w:spacing w:after="200"/>
      </w:pPr>
      <w:r>
        <w:rPr>
          <w:i/>
          <w:iCs/>
          <w:color w:val="595959"/>
          <w:sz w:val="16"/>
          <w:szCs w:val="16"/>
        </w:rPr>
        <w:t xml:space="preserve">Source: PMC — Evolution of Management of Posterior Urethral Valve — https://pmc.ncbi.nlm.nih.gov/articles/PMC8637996/</w:t>
      </w:r>
    </w:p>
    <w:p>
      <w:pPr>
        <w:spacing w:after="120" w:before="300"/>
      </w:pPr>
      <w:r>
        <w:rPr>
          <w:b/>
          <w:bCs/>
          <w:sz w:val="24"/>
          <w:szCs w:val="24"/>
        </w:rPr>
        <w:t xml:space="preserve">7. </w:t>
      </w:r>
      <w:r>
        <w:rPr>
          <w:sz w:val="24"/>
          <w:szCs w:val="24"/>
        </w:rPr>
        <w:t xml:space="preserve">A male infant with posterior urethral valves is found on VCUG to have severe unilateral vesicoureteral reflux into a small, poorly functioning left kidney, while the right kidney shows normal drainage and preserved function. Renal scan confirms the left kidney contributes minimally to overall function.</w:t>
      </w:r>
    </w:p>
    <w:p>
      <w:pPr>
        <w:spacing w:after="120"/>
      </w:pPr>
      <w:r>
        <w:rPr>
          <w:i/>
          <w:iCs/>
          <w:sz w:val="24"/>
          <w:szCs w:val="24"/>
        </w:rPr>
        <w:t xml:space="preserve">What is this constellation of findings called, and what is its proposed protective mechanism?</w:t>
      </w:r>
    </w:p>
    <w:p>
      <w:pPr>
        <w:spacing w:after="60"/>
        <w:ind w:left="360"/>
      </w:pPr>
      <w:r>
        <w:rPr>
          <w:b/>
          <w:bCs/>
          <w:sz w:val="22"/>
          <w:szCs w:val="22"/>
        </w:rPr>
        <w:t xml:space="preserve">A) </w:t>
      </w:r>
      <w:r>
        <w:rPr>
          <w:sz w:val="22"/>
          <w:szCs w:val="22"/>
        </w:rPr>
        <w:t xml:space="preserve">Prune belly syndrome; abdominal wall laxity decompresses the bladder</w:t>
      </w:r>
    </w:p>
    <w:p>
      <w:pPr>
        <w:spacing w:after="60"/>
        <w:ind w:left="360"/>
      </w:pPr>
      <w:r>
        <w:rPr>
          <w:b/>
          <w:bCs/>
          <w:sz w:val="22"/>
          <w:szCs w:val="22"/>
        </w:rPr>
        <w:t xml:space="preserve">B) </w:t>
      </w:r>
      <w:r>
        <w:rPr>
          <w:sz w:val="22"/>
          <w:szCs w:val="22"/>
        </w:rPr>
        <w:t xml:space="preserve">VACTERL association; multiple congenital anomalies occurring together</w:t>
      </w:r>
    </w:p>
    <w:p>
      <w:pPr>
        <w:spacing w:after="60"/>
        <w:ind w:left="360"/>
      </w:pPr>
      <w:r>
        <w:rPr>
          <w:b/>
          <w:bCs/>
          <w:sz w:val="22"/>
          <w:szCs w:val="22"/>
        </w:rPr>
        <w:t xml:space="preserve">C) </w:t>
      </w:r>
      <w:r>
        <w:rPr>
          <w:sz w:val="22"/>
          <w:szCs w:val="22"/>
        </w:rPr>
        <w:t xml:space="preserve">VATER syndrome; vertebral anomalies protect renal function</w:t>
      </w:r>
    </w:p>
    <w:p>
      <w:pPr>
        <w:spacing w:after="60"/>
        <w:ind w:left="360"/>
      </w:pPr>
      <w:r>
        <w:rPr>
          <w:b/>
          <w:bCs/>
          <w:sz w:val="22"/>
          <w:szCs w:val="22"/>
        </w:rPr>
        <w:t xml:space="preserve">D) </w:t>
      </w:r>
      <w:r>
        <w:rPr>
          <w:sz w:val="22"/>
          <w:szCs w:val="22"/>
        </w:rPr>
        <w:t xml:space="preserve">VURD syndrome; the dysplastic refluxing kidney acts as a pressure "pop-off," protecting the contralateral kidney</w:t>
      </w:r>
    </w:p>
    <w:p>
      <w:pPr>
        <w:spacing w:after="60"/>
        <w:ind w:left="360"/>
      </w:pPr>
      <w:r>
        <w:rPr>
          <w:b/>
          <w:bCs/>
          <w:sz w:val="22"/>
          <w:szCs w:val="22"/>
        </w:rPr>
        <w:t xml:space="preserve">E) </w:t>
      </w:r>
      <w:r>
        <w:rPr>
          <w:sz w:val="22"/>
          <w:szCs w:val="22"/>
        </w:rPr>
        <w:t xml:space="preserve">Wilms tumor syndrome; tumor decompresses the collecting system</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 distinct entity with abdominal wall deficiency, not this pattern.</w:t>
      </w:r>
    </w:p>
    <w:p>
      <w:pPr>
        <w:spacing w:after="40"/>
        <w:ind w:left="360"/>
      </w:pPr>
      <w:r>
        <w:rPr>
          <w:b/>
          <w:bCs/>
          <w:sz w:val="20"/>
          <w:szCs w:val="20"/>
        </w:rPr>
        <w:t xml:space="preserve">B) </w:t>
      </w:r>
      <w:r>
        <w:rPr>
          <w:sz w:val="20"/>
          <w:szCs w:val="20"/>
        </w:rPr>
        <w:t xml:space="preserve">Incorrect — a different, broader association unrelated to this specific renal pattern.</w:t>
      </w:r>
    </w:p>
    <w:p>
      <w:pPr>
        <w:spacing w:after="40"/>
        <w:ind w:left="360"/>
      </w:pPr>
      <w:r>
        <w:rPr>
          <w:b/>
          <w:bCs/>
          <w:sz w:val="20"/>
          <w:szCs w:val="20"/>
        </w:rPr>
        <w:t xml:space="preserve">C) </w:t>
      </w:r>
      <w:r>
        <w:rPr>
          <w:sz w:val="20"/>
          <w:szCs w:val="20"/>
        </w:rPr>
        <w:t xml:space="preserve">Incorrect — not a recognized eponym matching this description.</w:t>
      </w:r>
    </w:p>
    <w:p>
      <w:pPr>
        <w:spacing w:after="40"/>
        <w:ind w:left="360"/>
      </w:pPr>
      <w:r>
        <w:rPr>
          <w:b/>
          <w:bCs/>
          <w:sz w:val="20"/>
          <w:szCs w:val="20"/>
        </w:rPr>
        <w:t xml:space="preserve">D) </w:t>
      </w:r>
      <w:r>
        <w:rPr>
          <w:sz w:val="20"/>
          <w:szCs w:val="20"/>
        </w:rPr>
        <w:t xml:space="preserve">Correct — VURD syndrome (posterior urethral valves, unilateral VUR, and renal Dysplasia) is thought to act as a pressure "pop-off" mechanism, with the refluxing dysplastic kidney absorbing pressure and potentially protecting the contralateral kidney — though its long-term protective benefit is debated.</w:t>
      </w:r>
    </w:p>
    <w:p>
      <w:pPr>
        <w:spacing w:after="40"/>
        <w:ind w:left="360"/>
      </w:pPr>
      <w:r>
        <w:rPr>
          <w:b/>
          <w:bCs/>
          <w:sz w:val="20"/>
          <w:szCs w:val="20"/>
        </w:rPr>
        <w:t xml:space="preserve">E) </w:t>
      </w:r>
      <w:r>
        <w:rPr>
          <w:sz w:val="20"/>
          <w:szCs w:val="20"/>
        </w:rPr>
        <w:t xml:space="preserve">Incorrect — unrelated to Wilms tumor.</w:t>
      </w:r>
    </w:p>
    <w:p>
      <w:pPr>
        <w:spacing w:after="200"/>
      </w:pPr>
      <w:r>
        <w:rPr>
          <w:i/>
          <w:iCs/>
          <w:color w:val="595959"/>
          <w:sz w:val="16"/>
          <w:szCs w:val="16"/>
        </w:rPr>
        <w:t xml:space="preserve">Source: PMC — VURD Syndrome: Long-Term Kidney Function — https://pmc.ncbi.nlm.nih.gov/articles/PMC10341772/</w:t>
      </w:r>
    </w:p>
    <w:p>
      <w:pPr>
        <w:spacing w:after="120" w:before="300"/>
      </w:pPr>
      <w:r>
        <w:rPr>
          <w:b/>
          <w:bCs/>
          <w:sz w:val="24"/>
          <w:szCs w:val="24"/>
        </w:rPr>
        <w:t xml:space="preserve">8. </w:t>
      </w:r>
      <w:r>
        <w:rPr>
          <w:sz w:val="24"/>
          <w:szCs w:val="24"/>
        </w:rPr>
        <w:t xml:space="preserve">A 6-month-old boy who underwent valve ablation for posterior urethral valves as a neonate is being followed up. His serum creatinine, measured serially over the first year of life, reaches its lowest recorded value of 0.3 mg/dL before starting to rise again on subsequent visits.</w:t>
      </w:r>
    </w:p>
    <w:p>
      <w:pPr>
        <w:spacing w:after="120"/>
      </w:pPr>
      <w:r>
        <w:rPr>
          <w:i/>
          <w:iCs/>
          <w:sz w:val="24"/>
          <w:szCs w:val="24"/>
        </w:rPr>
        <w:t xml:space="preserve">What is this lowest recorded creatinine value called, and what does a value of 0.3 mg/dL suggest about his long-term renal prognosis?</w:t>
      </w:r>
    </w:p>
    <w:p>
      <w:pPr>
        <w:spacing w:after="60"/>
        <w:ind w:left="360"/>
      </w:pPr>
      <w:r>
        <w:rPr>
          <w:b/>
          <w:bCs/>
          <w:sz w:val="22"/>
          <w:szCs w:val="22"/>
        </w:rPr>
        <w:t xml:space="preserve">A) </w:t>
      </w:r>
      <w:r>
        <w:rPr>
          <w:sz w:val="22"/>
          <w:szCs w:val="22"/>
        </w:rPr>
        <w:t xml:space="preserve">Baseline creatinine; suggests a high risk of immediate dialysis</w:t>
      </w:r>
    </w:p>
    <w:p>
      <w:pPr>
        <w:spacing w:after="60"/>
        <w:ind w:left="360"/>
      </w:pPr>
      <w:r>
        <w:rPr>
          <w:b/>
          <w:bCs/>
          <w:sz w:val="22"/>
          <w:szCs w:val="22"/>
        </w:rPr>
        <w:t xml:space="preserve">B) </w:t>
      </w:r>
      <w:r>
        <w:rPr>
          <w:sz w:val="22"/>
          <w:szCs w:val="22"/>
        </w:rPr>
        <w:t xml:space="preserve">Corrected creatinine; has no prognostic value</w:t>
      </w:r>
    </w:p>
    <w:p>
      <w:pPr>
        <w:spacing w:after="60"/>
        <w:ind w:left="360"/>
      </w:pPr>
      <w:r>
        <w:rPr>
          <w:b/>
          <w:bCs/>
          <w:sz w:val="22"/>
          <w:szCs w:val="22"/>
        </w:rPr>
        <w:t xml:space="preserve">C) </w:t>
      </w:r>
      <w:r>
        <w:rPr>
          <w:sz w:val="22"/>
          <w:szCs w:val="22"/>
        </w:rPr>
        <w:t xml:space="preserve">Creatinine clearance; suggests normal glomerular filtration permanently</w:t>
      </w:r>
    </w:p>
    <w:p>
      <w:pPr>
        <w:spacing w:after="60"/>
        <w:ind w:left="360"/>
      </w:pPr>
      <w:r>
        <w:rPr>
          <w:b/>
          <w:bCs/>
          <w:sz w:val="22"/>
          <w:szCs w:val="22"/>
        </w:rPr>
        <w:t xml:space="preserve">D) </w:t>
      </w:r>
      <w:r>
        <w:rPr>
          <w:sz w:val="22"/>
          <w:szCs w:val="22"/>
        </w:rPr>
        <w:t xml:space="preserve">Nadir creatinine; a low value (&lt;0.4 mg/dL) suggests a low risk of progressing to end-stage kidney disease</w:t>
      </w:r>
    </w:p>
    <w:p>
      <w:pPr>
        <w:spacing w:after="60"/>
        <w:ind w:left="360"/>
      </w:pPr>
      <w:r>
        <w:rPr>
          <w:b/>
          <w:bCs/>
          <w:sz w:val="22"/>
          <w:szCs w:val="22"/>
        </w:rPr>
        <w:t xml:space="preserve">E) </w:t>
      </w:r>
      <w:r>
        <w:rPr>
          <w:sz w:val="22"/>
          <w:szCs w:val="22"/>
        </w:rPr>
        <w:t xml:space="preserve">Peak creatinine; suggests a high risk of end-stage kidney disease</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the wrong terminology, and this value suggests good, not poor, prognosis.</w:t>
      </w:r>
    </w:p>
    <w:p>
      <w:pPr>
        <w:spacing w:after="40"/>
        <w:ind w:left="360"/>
      </w:pPr>
      <w:r>
        <w:rPr>
          <w:b/>
          <w:bCs/>
          <w:sz w:val="20"/>
          <w:szCs w:val="20"/>
        </w:rPr>
        <w:t xml:space="preserve">B) </w:t>
      </w:r>
      <w:r>
        <w:rPr>
          <w:sz w:val="20"/>
          <w:szCs w:val="20"/>
        </w:rPr>
        <w:t xml:space="preserve">Incorrect — the wrong terminology; nadir creatinine does have prognostic value.</w:t>
      </w:r>
    </w:p>
    <w:p>
      <w:pPr>
        <w:spacing w:after="40"/>
        <w:ind w:left="360"/>
      </w:pPr>
      <w:r>
        <w:rPr>
          <w:b/>
          <w:bCs/>
          <w:sz w:val="20"/>
          <w:szCs w:val="20"/>
        </w:rPr>
        <w:t xml:space="preserve">C) </w:t>
      </w:r>
      <w:r>
        <w:rPr>
          <w:sz w:val="20"/>
          <w:szCs w:val="20"/>
        </w:rPr>
        <w:t xml:space="preserve">Incorrect — the wrong terminology; a single low creatinine doesn't guarantee permanently normal GFR, and ongoing follow-up is still needed.</w:t>
      </w:r>
    </w:p>
    <w:p>
      <w:pPr>
        <w:spacing w:after="40"/>
        <w:ind w:left="360"/>
      </w:pPr>
      <w:r>
        <w:rPr>
          <w:b/>
          <w:bCs/>
          <w:sz w:val="20"/>
          <w:szCs w:val="20"/>
        </w:rPr>
        <w:t xml:space="preserve">D) </w:t>
      </w:r>
      <w:r>
        <w:rPr>
          <w:sz w:val="20"/>
          <w:szCs w:val="20"/>
        </w:rPr>
        <w:t xml:space="preserve">Correct — "nadir creatinine" is the lowest serum creatinine recorded in the first year after diagnosis/ablation, and is the best-established prognostic marker for long-term renal outcome; values below 0.4 mg/dL indicate a very low risk of progression to ESKD, though lifelong follow-up remains necessary.</w:t>
      </w:r>
    </w:p>
    <w:p>
      <w:pPr>
        <w:spacing w:after="40"/>
        <w:ind w:left="360"/>
      </w:pPr>
      <w:r>
        <w:rPr>
          <w:b/>
          <w:bCs/>
          <w:sz w:val="20"/>
          <w:szCs w:val="20"/>
        </w:rPr>
        <w:t xml:space="preserve">E) </w:t>
      </w:r>
      <w:r>
        <w:rPr>
          <w:sz w:val="20"/>
          <w:szCs w:val="20"/>
        </w:rPr>
        <w:t xml:space="preserve">Incorrect — this is "peak," not nadir, terminology, and a low value is associated with good, not high-risk, prognosis.</w:t>
      </w:r>
    </w:p>
    <w:p>
      <w:pPr>
        <w:spacing w:after="200"/>
      </w:pPr>
      <w:r>
        <w:rPr>
          <w:i/>
          <w:iCs/>
          <w:color w:val="595959"/>
          <w:sz w:val="16"/>
          <w:szCs w:val="16"/>
        </w:rPr>
        <w:t xml:space="preserve">Source: PMC — Nadir Creatinine as a Predictor of Renal Outcomes in Posterior Urethral Valves — https://www.ncbi.nlm.nih.gov/pmc/articles/PMC10050680/</w:t>
      </w:r>
    </w:p>
    <w:p>
      <w:pPr>
        <w:spacing w:after="120" w:before="300"/>
      </w:pPr>
      <w:r>
        <w:rPr>
          <w:b/>
          <w:bCs/>
          <w:sz w:val="24"/>
          <w:szCs w:val="24"/>
        </w:rPr>
        <w:t xml:space="preserve">9. </w:t>
      </w:r>
      <w:r>
        <w:rPr>
          <w:sz w:val="24"/>
          <w:szCs w:val="24"/>
        </w:rPr>
        <w:t xml:space="preserve">A 10-year-old boy, successfully treated for posterior urethral valves as a neonate with early valve ablation, now has persistent daytime urinary incontinence, a large-capacity poorly contractile bladder on urodynamics, and progressively rising serum creatinine, despite the absence of any residual anatomical obstruction.</w:t>
      </w:r>
    </w:p>
    <w:p>
      <w:pPr>
        <w:spacing w:after="120"/>
      </w:pPr>
      <w:r>
        <w:rPr>
          <w:i/>
          <w:iCs/>
          <w:sz w:val="24"/>
          <w:szCs w:val="24"/>
        </w:rPr>
        <w:t xml:space="preserve">What is this long-term complication called, and what is its underlying pathophysiology?</w:t>
      </w:r>
    </w:p>
    <w:p>
      <w:pPr>
        <w:spacing w:after="60"/>
        <w:ind w:left="360"/>
      </w:pPr>
      <w:r>
        <w:rPr>
          <w:b/>
          <w:bCs/>
          <w:sz w:val="22"/>
          <w:szCs w:val="22"/>
        </w:rPr>
        <w:t xml:space="preserve">A) </w:t>
      </w:r>
      <w:r>
        <w:rPr>
          <w:sz w:val="22"/>
          <w:szCs w:val="22"/>
        </w:rPr>
        <w:t xml:space="preserve">Neurogenic bladder; caused by an undiagnosed spinal cord lesion</w:t>
      </w:r>
    </w:p>
    <w:p>
      <w:pPr>
        <w:spacing w:after="60"/>
        <w:ind w:left="360"/>
      </w:pPr>
      <w:r>
        <w:rPr>
          <w:b/>
          <w:bCs/>
          <w:sz w:val="22"/>
          <w:szCs w:val="22"/>
        </w:rPr>
        <w:t xml:space="preserve">B) </w:t>
      </w:r>
      <w:r>
        <w:rPr>
          <w:sz w:val="22"/>
          <w:szCs w:val="22"/>
        </w:rPr>
        <w:t xml:space="preserve">Overactive bladder syndrome; caused solely by recurrent urinary tract infections</w:t>
      </w:r>
    </w:p>
    <w:p>
      <w:pPr>
        <w:spacing w:after="60"/>
        <w:ind w:left="360"/>
      </w:pPr>
      <w:r>
        <w:rPr>
          <w:b/>
          <w:bCs/>
          <w:sz w:val="22"/>
          <w:szCs w:val="22"/>
        </w:rPr>
        <w:t xml:space="preserve">C) </w:t>
      </w:r>
      <w:r>
        <w:rPr>
          <w:sz w:val="22"/>
          <w:szCs w:val="22"/>
        </w:rPr>
        <w:t xml:space="preserve">Prune belly syndrome; caused by absent abdominal musculature</w:t>
      </w:r>
    </w:p>
    <w:p>
      <w:pPr>
        <w:spacing w:after="60"/>
        <w:ind w:left="360"/>
      </w:pPr>
      <w:r>
        <w:rPr>
          <w:b/>
          <w:bCs/>
          <w:sz w:val="22"/>
          <w:szCs w:val="22"/>
        </w:rPr>
        <w:t xml:space="preserve">D) </w:t>
      </w:r>
      <w:r>
        <w:rPr>
          <w:sz w:val="22"/>
          <w:szCs w:val="22"/>
        </w:rPr>
        <w:t xml:space="preserve">Urethral stricture; caused by scarring after valve ablation</w:t>
      </w:r>
    </w:p>
    <w:p>
      <w:pPr>
        <w:spacing w:after="60"/>
        <w:ind w:left="360"/>
      </w:pPr>
      <w:r>
        <w:rPr>
          <w:b/>
          <w:bCs/>
          <w:sz w:val="22"/>
          <w:szCs w:val="22"/>
        </w:rPr>
        <w:t xml:space="preserve">E) </w:t>
      </w:r>
      <w:r>
        <w:rPr>
          <w:sz w:val="22"/>
          <w:szCs w:val="22"/>
        </w:rPr>
        <w:t xml:space="preserve">Valve bladder syndrome; caused by irreversible bladder muscle hypertrophy and fibrosis from chronic obstruction, impairing bladder emptying and compliance</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evidence of a spinal lesion; this is a known sequela of PUV itself.</w:t>
      </w:r>
    </w:p>
    <w:p>
      <w:pPr>
        <w:spacing w:after="40"/>
        <w:ind w:left="360"/>
      </w:pPr>
      <w:r>
        <w:rPr>
          <w:b/>
          <w:bCs/>
          <w:sz w:val="20"/>
          <w:szCs w:val="20"/>
        </w:rPr>
        <w:t xml:space="preserve">B) </w:t>
      </w:r>
      <w:r>
        <w:rPr>
          <w:sz w:val="20"/>
          <w:szCs w:val="20"/>
        </w:rPr>
        <w:t xml:space="preserve">Incorrect — not solely infection-related; a structural/functional bladder consequence of prior obstruction.</w:t>
      </w:r>
    </w:p>
    <w:p>
      <w:pPr>
        <w:spacing w:after="40"/>
        <w:ind w:left="360"/>
      </w:pPr>
      <w:r>
        <w:rPr>
          <w:b/>
          <w:bCs/>
          <w:sz w:val="20"/>
          <w:szCs w:val="20"/>
        </w:rPr>
        <w:t xml:space="preserve">C) </w:t>
      </w:r>
      <w:r>
        <w:rPr>
          <w:sz w:val="20"/>
          <w:szCs w:val="20"/>
        </w:rPr>
        <w:t xml:space="preserve">Incorrect — a distinct congenital entity, not a late sequela of treated PUV.</w:t>
      </w:r>
    </w:p>
    <w:p>
      <w:pPr>
        <w:spacing w:after="40"/>
        <w:ind w:left="360"/>
      </w:pPr>
      <w:r>
        <w:rPr>
          <w:b/>
          <w:bCs/>
          <w:sz w:val="20"/>
          <w:szCs w:val="20"/>
        </w:rPr>
        <w:t xml:space="preserve">D) </w:t>
      </w:r>
      <w:r>
        <w:rPr>
          <w:sz w:val="20"/>
          <w:szCs w:val="20"/>
        </w:rPr>
        <w:t xml:space="preserve">Incorrect — stricture would show anatomical obstruction, which is explicitly absent here.</w:t>
      </w:r>
    </w:p>
    <w:p>
      <w:pPr>
        <w:spacing w:after="40"/>
        <w:ind w:left="360"/>
      </w:pPr>
      <w:r>
        <w:rPr>
          <w:b/>
          <w:bCs/>
          <w:sz w:val="20"/>
          <w:szCs w:val="20"/>
        </w:rPr>
        <w:t xml:space="preserve">E) </w:t>
      </w:r>
      <w:r>
        <w:rPr>
          <w:sz w:val="20"/>
          <w:szCs w:val="20"/>
        </w:rPr>
        <w:t xml:space="preserve">Correct — "valve bladder syndrome" describes the persistent bladder dysfunction (impaired compliance, contractility, capacity) that can develop despite successful valve ablation, driven by irreversible detrusor hypertrophy/fibrosis from earlier chronic obstruction, and can itself continue to threaten renal function.</w:t>
      </w:r>
    </w:p>
    <w:p>
      <w:pPr>
        <w:spacing w:after="200"/>
      </w:pPr>
      <w:r>
        <w:rPr>
          <w:i/>
          <w:iCs/>
          <w:color w:val="595959"/>
          <w:sz w:val="16"/>
          <w:szCs w:val="16"/>
        </w:rPr>
        <w:t xml:space="preserve">Source: PMC — Chronic Kidney Disease in Boys with Posterior Urethral Valves: Pathogenesis, Prognosis and Management — https://www.ncbi.nlm.nih.gov/pmc/articles/PMC9405968/</w:t>
      </w:r>
    </w:p>
    <w:p>
      <w:pPr>
        <w:spacing w:after="120" w:before="300"/>
      </w:pPr>
      <w:r>
        <w:rPr>
          <w:b/>
          <w:bCs/>
          <w:sz w:val="24"/>
          <w:szCs w:val="24"/>
        </w:rPr>
        <w:t xml:space="preserve">10. </w:t>
      </w:r>
      <w:r>
        <w:rPr>
          <w:sz w:val="24"/>
          <w:szCs w:val="24"/>
        </w:rPr>
        <w:t xml:space="preserve">An extremely premature male infant born at 28 weeks is diagnosed with posterior urethral valves. His urethra is too small to admit even the smallest available pediatric cystoscope, making primary endoscopic valve ablation currently unfeasible, while ongoing bladder drainage is still required to protect his kidneys.</w:t>
      </w:r>
    </w:p>
    <w:p>
      <w:pPr>
        <w:spacing w:after="120"/>
      </w:pPr>
      <w:r>
        <w:rPr>
          <w:i/>
          <w:iCs/>
          <w:sz w:val="24"/>
          <w:szCs w:val="24"/>
        </w:rPr>
        <w:t xml:space="preserve">What is an appropriate temporizing surgical option in this situation?</w:t>
      </w:r>
    </w:p>
    <w:p>
      <w:pPr>
        <w:spacing w:after="60"/>
        <w:ind w:left="360"/>
      </w:pPr>
      <w:r>
        <w:rPr>
          <w:b/>
          <w:bCs/>
          <w:sz w:val="22"/>
          <w:szCs w:val="22"/>
        </w:rPr>
        <w:t xml:space="preserve">A) </w:t>
      </w:r>
      <w:r>
        <w:rPr>
          <w:sz w:val="22"/>
          <w:szCs w:val="22"/>
        </w:rPr>
        <w:t xml:space="preserve">Bilateral nephrostomy as the first-choice procedure regardless of bladder status</w:t>
      </w:r>
    </w:p>
    <w:p>
      <w:pPr>
        <w:spacing w:after="60"/>
        <w:ind w:left="360"/>
      </w:pPr>
      <w:r>
        <w:rPr>
          <w:b/>
          <w:bCs/>
          <w:sz w:val="22"/>
          <w:szCs w:val="22"/>
        </w:rPr>
        <w:t xml:space="preserve">B) </w:t>
      </w:r>
      <w:r>
        <w:rPr>
          <w:sz w:val="22"/>
          <w:szCs w:val="22"/>
        </w:rPr>
        <w:t xml:space="preserve">Cutaneous vesicostomy to allow low-pressure bladder drainage until the infant is large enough for ablation</w:t>
      </w:r>
    </w:p>
    <w:p>
      <w:pPr>
        <w:spacing w:after="60"/>
        <w:ind w:left="360"/>
      </w:pPr>
      <w:r>
        <w:rPr>
          <w:b/>
          <w:bCs/>
          <w:sz w:val="22"/>
          <w:szCs w:val="22"/>
        </w:rPr>
        <w:t xml:space="preserve">C) </w:t>
      </w:r>
      <w:r>
        <w:rPr>
          <w:sz w:val="22"/>
          <w:szCs w:val="22"/>
        </w:rPr>
        <w:t xml:space="preserve">Immediate renal transplantation</w:t>
      </w:r>
    </w:p>
    <w:p>
      <w:pPr>
        <w:spacing w:after="60"/>
        <w:ind w:left="360"/>
      </w:pPr>
      <w:r>
        <w:rPr>
          <w:b/>
          <w:bCs/>
          <w:sz w:val="22"/>
          <w:szCs w:val="22"/>
        </w:rPr>
        <w:t xml:space="preserve">D) </w:t>
      </w:r>
      <w:r>
        <w:rPr>
          <w:sz w:val="22"/>
          <w:szCs w:val="22"/>
        </w:rPr>
        <w:t xml:space="preserve">Observation alone, without any form of urinary diversion</w:t>
      </w:r>
    </w:p>
    <w:p>
      <w:pPr>
        <w:spacing w:after="60"/>
        <w:ind w:left="360"/>
      </w:pPr>
      <w:r>
        <w:rPr>
          <w:b/>
          <w:bCs/>
          <w:sz w:val="22"/>
          <w:szCs w:val="22"/>
        </w:rPr>
        <w:t xml:space="preserve">E) </w:t>
      </w:r>
      <w:r>
        <w:rPr>
          <w:sz w:val="22"/>
          <w:szCs w:val="22"/>
        </w:rPr>
        <w:t xml:space="preserve">Permanent ileal conduit urinary diversion</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not first-choice when bladder-level drainage can suffice.</w:t>
      </w:r>
    </w:p>
    <w:p>
      <w:pPr>
        <w:spacing w:after="40"/>
        <w:ind w:left="360"/>
      </w:pPr>
      <w:r>
        <w:rPr>
          <w:b/>
          <w:bCs/>
          <w:sz w:val="20"/>
          <w:szCs w:val="20"/>
        </w:rPr>
        <w:t xml:space="preserve">B) </w:t>
      </w:r>
      <w:r>
        <w:rPr>
          <w:sz w:val="20"/>
          <w:szCs w:val="20"/>
        </w:rPr>
        <w:t xml:space="preserve">Correct — cutaneous vesicostomy provides simple, effective, low-pressure, reversible bladder drainage until the infant is large enough for definitive endoscopic ablation.</w:t>
      </w:r>
    </w:p>
    <w:p>
      <w:pPr>
        <w:spacing w:after="40"/>
        <w:ind w:left="360"/>
      </w:pPr>
      <w:r>
        <w:rPr>
          <w:b/>
          <w:bCs/>
          <w:sz w:val="20"/>
          <w:szCs w:val="20"/>
        </w:rPr>
        <w:t xml:space="preserve">C) </w:t>
      </w:r>
      <w:r>
        <w:rPr>
          <w:sz w:val="20"/>
          <w:szCs w:val="20"/>
        </w:rPr>
        <w:t xml:space="preserve">Incorrect — not an acute option for a salvageable neonate.</w:t>
      </w:r>
    </w:p>
    <w:p>
      <w:pPr>
        <w:spacing w:after="40"/>
        <w:ind w:left="360"/>
      </w:pPr>
      <w:r>
        <w:rPr>
          <w:b/>
          <w:bCs/>
          <w:sz w:val="20"/>
          <w:szCs w:val="20"/>
        </w:rPr>
        <w:t xml:space="preserve">D) </w:t>
      </w:r>
      <w:r>
        <w:rPr>
          <w:sz w:val="20"/>
          <w:szCs w:val="20"/>
        </w:rPr>
        <w:t xml:space="preserve">Incorrect — ongoing undrained obstruction risks worsening renal damage.</w:t>
      </w:r>
    </w:p>
    <w:p>
      <w:pPr>
        <w:spacing w:after="40"/>
        <w:ind w:left="360"/>
      </w:pPr>
      <w:r>
        <w:rPr>
          <w:b/>
          <w:bCs/>
          <w:sz w:val="20"/>
          <w:szCs w:val="20"/>
        </w:rPr>
        <w:t xml:space="preserve">E) </w:t>
      </w:r>
      <w:r>
        <w:rPr>
          <w:sz w:val="20"/>
          <w:szCs w:val="20"/>
        </w:rPr>
        <w:t xml:space="preserve">Incorrect — permanent and irreversible, unlike vesicostomy.</w:t>
      </w:r>
    </w:p>
    <w:p>
      <w:pPr>
        <w:spacing w:after="200"/>
      </w:pPr>
      <w:r>
        <w:rPr>
          <w:i/>
          <w:iCs/>
          <w:color w:val="595959"/>
          <w:sz w:val="16"/>
          <w:szCs w:val="16"/>
        </w:rPr>
        <w:t xml:space="preserve">Source: StatPearls — Posterior Urethral Valves — https://www.ncbi.nlm.nih.gov/books/NBK560881/</w:t>
      </w:r>
    </w:p>
    <w:p>
      <w:r>
        <w:br w:type="page"/>
      </w:r>
    </w:p>
    <w:p>
      <w:pPr>
        <w:pStyle w:val="Heading1"/>
        <w:pBdr>
          <w:bottom w:val="single" w:color="C00000" w:sz="8" w:space="4"/>
        </w:pBdr>
        <w:spacing w:after="300"/>
      </w:pPr>
      <w:r>
        <w:rPr>
          <w:b/>
          <w:bCs/>
          <w:color w:val="C00000"/>
          <w:sz w:val="32"/>
          <w:szCs w:val="32"/>
        </w:rPr>
        <w:t xml:space="preserve">Section 5: Oral Cancers</w:t>
      </w:r>
    </w:p>
    <w:p>
      <w:pPr>
        <w:spacing w:after="120" w:before="300"/>
      </w:pPr>
      <w:r>
        <w:rPr>
          <w:b/>
          <w:bCs/>
          <w:sz w:val="24"/>
          <w:szCs w:val="24"/>
        </w:rPr>
        <w:t xml:space="preserve">1. </w:t>
      </w:r>
      <w:r>
        <w:rPr>
          <w:sz w:val="24"/>
          <w:szCs w:val="24"/>
        </w:rPr>
        <w:t xml:space="preserve">A 50-year-old man from South Asia has chewed betel quid (paan) containing areca nut daily for over 20 years. He now presents with a persistent non-healing ulcer on his buccal mucosa. His family history is unremarkable, and he does not smoke or drink alcohol.</w:t>
      </w:r>
    </w:p>
    <w:p>
      <w:pPr>
        <w:spacing w:after="120"/>
      </w:pPr>
      <w:r>
        <w:rPr>
          <w:i/>
          <w:iCs/>
          <w:sz w:val="24"/>
          <w:szCs w:val="24"/>
        </w:rPr>
        <w:t xml:space="preserve">Compared to non-chewers, what is the approximate relative risk of oral cancer associated with his habit, based on pooled meta-analysis data?</w:t>
      </w:r>
    </w:p>
    <w:p>
      <w:pPr>
        <w:spacing w:after="60"/>
        <w:ind w:left="360"/>
      </w:pPr>
      <w:r>
        <w:rPr>
          <w:b/>
          <w:bCs/>
          <w:sz w:val="22"/>
          <w:szCs w:val="22"/>
        </w:rPr>
        <w:t xml:space="preserve">A) </w:t>
      </w:r>
      <w:r>
        <w:rPr>
          <w:sz w:val="22"/>
          <w:szCs w:val="22"/>
        </w:rPr>
        <w:t xml:space="preserve">Approximately 1.5-fold</w:t>
      </w:r>
    </w:p>
    <w:p>
      <w:pPr>
        <w:spacing w:after="60"/>
        <w:ind w:left="360"/>
      </w:pPr>
      <w:r>
        <w:rPr>
          <w:b/>
          <w:bCs/>
          <w:sz w:val="22"/>
          <w:szCs w:val="22"/>
        </w:rPr>
        <w:t xml:space="preserve">B) </w:t>
      </w:r>
      <w:r>
        <w:rPr>
          <w:sz w:val="22"/>
          <w:szCs w:val="22"/>
        </w:rPr>
        <w:t xml:space="preserve">Approximately 2-fold</w:t>
      </w:r>
    </w:p>
    <w:p>
      <w:pPr>
        <w:spacing w:after="60"/>
        <w:ind w:left="360"/>
      </w:pPr>
      <w:r>
        <w:rPr>
          <w:b/>
          <w:bCs/>
          <w:sz w:val="22"/>
          <w:szCs w:val="22"/>
        </w:rPr>
        <w:t xml:space="preserve">C) </w:t>
      </w:r>
      <w:r>
        <w:rPr>
          <w:sz w:val="22"/>
          <w:szCs w:val="22"/>
        </w:rPr>
        <w:t xml:space="preserve">Approximately 4-fold</w:t>
      </w:r>
    </w:p>
    <w:p>
      <w:pPr>
        <w:spacing w:after="60"/>
        <w:ind w:left="360"/>
      </w:pPr>
      <w:r>
        <w:rPr>
          <w:b/>
          <w:bCs/>
          <w:sz w:val="22"/>
          <w:szCs w:val="22"/>
        </w:rPr>
        <w:t xml:space="preserve">D) </w:t>
      </w:r>
      <w:r>
        <w:rPr>
          <w:sz w:val="22"/>
          <w:szCs w:val="22"/>
        </w:rPr>
        <w:t xml:space="preserve">Approximately 8-fold</w:t>
      </w:r>
    </w:p>
    <w:p>
      <w:pPr>
        <w:spacing w:after="60"/>
        <w:ind w:left="360"/>
      </w:pPr>
      <w:r>
        <w:rPr>
          <w:b/>
          <w:bCs/>
          <w:sz w:val="22"/>
          <w:szCs w:val="22"/>
        </w:rPr>
        <w:t xml:space="preserve">E) </w:t>
      </w:r>
      <w:r>
        <w:rPr>
          <w:sz w:val="22"/>
          <w:szCs w:val="22"/>
        </w:rPr>
        <w:t xml:space="preserve">No increased risk once smoking and alcohol are excluded</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underestimates the risk.</w:t>
      </w:r>
    </w:p>
    <w:p>
      <w:pPr>
        <w:spacing w:after="40"/>
        <w:ind w:left="360"/>
      </w:pPr>
      <w:r>
        <w:rPr>
          <w:b/>
          <w:bCs/>
          <w:sz w:val="20"/>
          <w:szCs w:val="20"/>
        </w:rPr>
        <w:t xml:space="preserve">B) </w:t>
      </w:r>
      <w:r>
        <w:rPr>
          <w:sz w:val="20"/>
          <w:szCs w:val="20"/>
        </w:rPr>
        <w:t xml:space="preserve">Incorrect — underestimates the risk; closer to the risk from smoking alone.</w:t>
      </w:r>
    </w:p>
    <w:p>
      <w:pPr>
        <w:spacing w:after="40"/>
        <w:ind w:left="360"/>
      </w:pPr>
      <w:r>
        <w:rPr>
          <w:b/>
          <w:bCs/>
          <w:sz w:val="20"/>
          <w:szCs w:val="20"/>
        </w:rPr>
        <w:t xml:space="preserve">C) </w:t>
      </w:r>
      <w:r>
        <w:rPr>
          <w:sz w:val="20"/>
          <w:szCs w:val="20"/>
        </w:rPr>
        <w:t xml:space="preserve">Incorrect — still underestimates the risk.</w:t>
      </w:r>
    </w:p>
    <w:p>
      <w:pPr>
        <w:spacing w:after="40"/>
        <w:ind w:left="360"/>
      </w:pPr>
      <w:r>
        <w:rPr>
          <w:b/>
          <w:bCs/>
          <w:sz w:val="20"/>
          <w:szCs w:val="20"/>
        </w:rPr>
        <w:t xml:space="preserve">D) </w:t>
      </w:r>
      <w:r>
        <w:rPr>
          <w:sz w:val="20"/>
          <w:szCs w:val="20"/>
        </w:rPr>
        <w:t xml:space="preserve">Correct — a high-quality meta-analysis found a pooled adjusted relative risk of approximately 7.9 (95% CI 7.1-8.7) for betel quid/areca nut chewing and oral cancer.</w:t>
      </w:r>
    </w:p>
    <w:p>
      <w:pPr>
        <w:spacing w:after="40"/>
        <w:ind w:left="360"/>
      </w:pPr>
      <w:r>
        <w:rPr>
          <w:b/>
          <w:bCs/>
          <w:sz w:val="20"/>
          <w:szCs w:val="20"/>
        </w:rPr>
        <w:t xml:space="preserve">E) </w:t>
      </w:r>
      <w:r>
        <w:rPr>
          <w:sz w:val="20"/>
          <w:szCs w:val="20"/>
        </w:rPr>
        <w:t xml:space="preserve">Incorrect — betel quid/areca nut chewing is an independent risk factor even without tobacco or alcohol.</w:t>
      </w:r>
    </w:p>
    <w:p>
      <w:pPr>
        <w:spacing w:after="200"/>
      </w:pPr>
      <w:r>
        <w:rPr>
          <w:i/>
          <w:iCs/>
          <w:color w:val="595959"/>
          <w:sz w:val="16"/>
          <w:szCs w:val="16"/>
        </w:rPr>
        <w:t xml:space="preserve">Source: PMC — Areca Nut and Oral Cancer: Evidence from Studies in Humans — https://www.ncbi.nlm.nih.gov/pmc/articles/PMC9397398/</w:t>
      </w:r>
    </w:p>
    <w:p>
      <w:pPr>
        <w:spacing w:after="120" w:before="300"/>
      </w:pPr>
      <w:r>
        <w:rPr>
          <w:b/>
          <w:bCs/>
          <w:sz w:val="24"/>
          <w:szCs w:val="24"/>
        </w:rPr>
        <w:t xml:space="preserve">2. </w:t>
      </w:r>
      <w:r>
        <w:rPr>
          <w:sz w:val="24"/>
          <w:szCs w:val="24"/>
        </w:rPr>
        <w:t xml:space="preserve">During a routine dental check-up, a 55-year-old woman is found to have a well-demarcated, velvety red patch on the floor of her mouth. She is asymptomatic, and biopsy confirms epithelial dysplasia without invasion. She asks about her long-term risk of this lesion progressing to cancer.</w:t>
      </w:r>
    </w:p>
    <w:p>
      <w:pPr>
        <w:spacing w:after="120"/>
      </w:pPr>
      <w:r>
        <w:rPr>
          <w:i/>
          <w:iCs/>
          <w:sz w:val="24"/>
          <w:szCs w:val="24"/>
        </w:rPr>
        <w:t xml:space="preserve">This lesion is best described as which of the following, and what is its approximate malignant transformation rate compared to other oral potentially malignant disorders?</w:t>
      </w:r>
    </w:p>
    <w:p>
      <w:pPr>
        <w:spacing w:after="60"/>
        <w:ind w:left="360"/>
      </w:pPr>
      <w:r>
        <w:rPr>
          <w:b/>
          <w:bCs/>
          <w:sz w:val="22"/>
          <w:szCs w:val="22"/>
        </w:rPr>
        <w:t xml:space="preserve">A) </w:t>
      </w:r>
      <w:r>
        <w:rPr>
          <w:sz w:val="22"/>
          <w:szCs w:val="22"/>
        </w:rPr>
        <w:t xml:space="preserve">Erythroplakia — the highest transformation rate (~33%) among common oral potentially malignant disorders</w:t>
      </w:r>
    </w:p>
    <w:p>
      <w:pPr>
        <w:spacing w:after="60"/>
        <w:ind w:left="360"/>
      </w:pPr>
      <w:r>
        <w:rPr>
          <w:b/>
          <w:bCs/>
          <w:sz w:val="22"/>
          <w:szCs w:val="22"/>
        </w:rPr>
        <w:t xml:space="preserve">B) </w:t>
      </w:r>
      <w:r>
        <w:rPr>
          <w:sz w:val="22"/>
          <w:szCs w:val="22"/>
        </w:rPr>
        <w:t xml:space="preserve">Leukoplakia — the highest transformation rate (~33%) among common oral potentially malignant disorders</w:t>
      </w:r>
    </w:p>
    <w:p>
      <w:pPr>
        <w:spacing w:after="60"/>
        <w:ind w:left="360"/>
      </w:pPr>
      <w:r>
        <w:rPr>
          <w:b/>
          <w:bCs/>
          <w:sz w:val="22"/>
          <w:szCs w:val="22"/>
        </w:rPr>
        <w:t xml:space="preserve">C) </w:t>
      </w:r>
      <w:r>
        <w:rPr>
          <w:sz w:val="22"/>
          <w:szCs w:val="22"/>
        </w:rPr>
        <w:t xml:space="preserve">Lichen planus — the highest transformation rate (~33%) among common oral potentially malignant disorders</w:t>
      </w:r>
    </w:p>
    <w:p>
      <w:pPr>
        <w:spacing w:after="60"/>
        <w:ind w:left="360"/>
      </w:pPr>
      <w:r>
        <w:rPr>
          <w:b/>
          <w:bCs/>
          <w:sz w:val="22"/>
          <w:szCs w:val="22"/>
        </w:rPr>
        <w:t xml:space="preserve">D) </w:t>
      </w:r>
      <w:r>
        <w:rPr>
          <w:sz w:val="22"/>
          <w:szCs w:val="22"/>
        </w:rPr>
        <w:t xml:space="preserve">Oral submucous fibrosis — a transformation rate of approximately 33%</w:t>
      </w:r>
    </w:p>
    <w:p>
      <w:pPr>
        <w:spacing w:after="60"/>
        <w:ind w:left="360"/>
      </w:pPr>
      <w:r>
        <w:rPr>
          <w:b/>
          <w:bCs/>
          <w:sz w:val="22"/>
          <w:szCs w:val="22"/>
        </w:rPr>
        <w:t xml:space="preserve">E) </w:t>
      </w:r>
      <w:r>
        <w:rPr>
          <w:sz w:val="22"/>
          <w:szCs w:val="22"/>
        </w:rPr>
        <w:t xml:space="preserve">Verrucous carcinoma — already a malignant lesion, not a potentially malignant disorder</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a red, velvety patch is classic for erythroplakia, which carries the highest malignant transformation rate (~33.1%) among oral potentially malignant disorders, despite being far less common than leukoplakia.</w:t>
      </w:r>
    </w:p>
    <w:p>
      <w:pPr>
        <w:spacing w:after="40"/>
        <w:ind w:left="360"/>
      </w:pPr>
      <w:r>
        <w:rPr>
          <w:b/>
          <w:bCs/>
          <w:sz w:val="20"/>
          <w:szCs w:val="20"/>
        </w:rPr>
        <w:t xml:space="preserve">B) </w:t>
      </w:r>
      <w:r>
        <w:rPr>
          <w:sz w:val="20"/>
          <w:szCs w:val="20"/>
        </w:rPr>
        <w:t xml:space="preserve">Incorrect — leukoplakia is a white patch, not a red one, and has a lower transformation rate (~9.5%).</w:t>
      </w:r>
    </w:p>
    <w:p>
      <w:pPr>
        <w:spacing w:after="40"/>
        <w:ind w:left="360"/>
      </w:pPr>
      <w:r>
        <w:rPr>
          <w:b/>
          <w:bCs/>
          <w:sz w:val="20"/>
          <w:szCs w:val="20"/>
        </w:rPr>
        <w:t xml:space="preserve">C) </w:t>
      </w:r>
      <w:r>
        <w:rPr>
          <w:sz w:val="20"/>
          <w:szCs w:val="20"/>
        </w:rPr>
        <w:t xml:space="preserve">Incorrect — lichen planus is a different, typically reticular/white lesion, not this description.</w:t>
      </w:r>
    </w:p>
    <w:p>
      <w:pPr>
        <w:spacing w:after="40"/>
        <w:ind w:left="360"/>
      </w:pPr>
      <w:r>
        <w:rPr>
          <w:b/>
          <w:bCs/>
          <w:sz w:val="20"/>
          <w:szCs w:val="20"/>
        </w:rPr>
        <w:t xml:space="preserve">D) </w:t>
      </w:r>
      <w:r>
        <w:rPr>
          <w:sz w:val="20"/>
          <w:szCs w:val="20"/>
        </w:rPr>
        <w:t xml:space="preserve">Incorrect — OSMF has a lower transformation rate (~5.2%) and different clinical appearance (fibrous bands, trismus), not a red patch.</w:t>
      </w:r>
    </w:p>
    <w:p>
      <w:pPr>
        <w:spacing w:after="40"/>
        <w:ind w:left="360"/>
      </w:pPr>
      <w:r>
        <w:rPr>
          <w:b/>
          <w:bCs/>
          <w:sz w:val="20"/>
          <w:szCs w:val="20"/>
        </w:rPr>
        <w:t xml:space="preserve">E) </w:t>
      </w:r>
      <w:r>
        <w:rPr>
          <w:sz w:val="20"/>
          <w:szCs w:val="20"/>
        </w:rPr>
        <w:t xml:space="preserve">Incorrect — the histology here shows dysplasia without invasion, not established carcinoma.</w:t>
      </w:r>
    </w:p>
    <w:p>
      <w:pPr>
        <w:spacing w:after="200"/>
      </w:pPr>
      <w:r>
        <w:rPr>
          <w:i/>
          <w:iCs/>
          <w:color w:val="595959"/>
          <w:sz w:val="16"/>
          <w:szCs w:val="16"/>
        </w:rPr>
        <w:t xml:space="preserve">Source: National Elf Service / Wiley meta-analysis — Oral erythroplakia malignant transformation rate — https://www.nationalelfservice.net/dentistry/oral-cancer/oral-erythroplakia-malignant-transformation-rate/</w:t>
      </w:r>
    </w:p>
    <w:p>
      <w:pPr>
        <w:spacing w:after="120" w:before="300"/>
      </w:pPr>
      <w:r>
        <w:rPr>
          <w:b/>
          <w:bCs/>
          <w:sz w:val="24"/>
          <w:szCs w:val="24"/>
        </w:rPr>
        <w:t xml:space="preserve">3. </w:t>
      </w:r>
      <w:r>
        <w:rPr>
          <w:sz w:val="24"/>
          <w:szCs w:val="24"/>
        </w:rPr>
        <w:t xml:space="preserve">A 60-year-old man, a chronic smoker and alcohol user, presents with a painful non-healing ulcer with rolled, everted edges on the side of his tongue, present for six weeks. He also reports mild referred ear pain on the same side.</w:t>
      </w:r>
    </w:p>
    <w:p>
      <w:pPr>
        <w:spacing w:after="120"/>
      </w:pPr>
      <w:r>
        <w:rPr>
          <w:i/>
          <w:iCs/>
          <w:sz w:val="24"/>
          <w:szCs w:val="24"/>
        </w:rPr>
        <w:t xml:space="preserve">Which intraoral subsite is the most common location for this type of malignancy?</w:t>
      </w:r>
    </w:p>
    <w:p>
      <w:pPr>
        <w:spacing w:after="60"/>
        <w:ind w:left="360"/>
      </w:pPr>
      <w:r>
        <w:rPr>
          <w:b/>
          <w:bCs/>
          <w:sz w:val="22"/>
          <w:szCs w:val="22"/>
        </w:rPr>
        <w:t xml:space="preserve">A) </w:t>
      </w:r>
      <w:r>
        <w:rPr>
          <w:sz w:val="22"/>
          <w:szCs w:val="22"/>
        </w:rPr>
        <w:t xml:space="preserve">Buccal mucosa</w:t>
      </w:r>
    </w:p>
    <w:p>
      <w:pPr>
        <w:spacing w:after="60"/>
        <w:ind w:left="360"/>
      </w:pPr>
      <w:r>
        <w:rPr>
          <w:b/>
          <w:bCs/>
          <w:sz w:val="22"/>
          <w:szCs w:val="22"/>
        </w:rPr>
        <w:t xml:space="preserve">B) </w:t>
      </w:r>
      <w:r>
        <w:rPr>
          <w:sz w:val="22"/>
          <w:szCs w:val="22"/>
        </w:rPr>
        <w:t xml:space="preserve">Floor of mouth</w:t>
      </w:r>
    </w:p>
    <w:p>
      <w:pPr>
        <w:spacing w:after="60"/>
        <w:ind w:left="360"/>
      </w:pPr>
      <w:r>
        <w:rPr>
          <w:b/>
          <w:bCs/>
          <w:sz w:val="22"/>
          <w:szCs w:val="22"/>
        </w:rPr>
        <w:t xml:space="preserve">C) </w:t>
      </w:r>
      <w:r>
        <w:rPr>
          <w:sz w:val="22"/>
          <w:szCs w:val="22"/>
        </w:rPr>
        <w:t xml:space="preserve">Hard palate</w:t>
      </w:r>
    </w:p>
    <w:p>
      <w:pPr>
        <w:spacing w:after="60"/>
        <w:ind w:left="360"/>
      </w:pPr>
      <w:r>
        <w:rPr>
          <w:b/>
          <w:bCs/>
          <w:sz w:val="22"/>
          <w:szCs w:val="22"/>
        </w:rPr>
        <w:t xml:space="preserve">D) </w:t>
      </w:r>
      <w:r>
        <w:rPr>
          <w:sz w:val="22"/>
          <w:szCs w:val="22"/>
        </w:rPr>
        <w:t xml:space="preserve">Lateral border of the tongue</w:t>
      </w:r>
    </w:p>
    <w:p>
      <w:pPr>
        <w:spacing w:after="60"/>
        <w:ind w:left="360"/>
      </w:pPr>
      <w:r>
        <w:rPr>
          <w:b/>
          <w:bCs/>
          <w:sz w:val="22"/>
          <w:szCs w:val="22"/>
        </w:rPr>
        <w:t xml:space="preserve">E) </w:t>
      </w:r>
      <w:r>
        <w:rPr>
          <w:sz w:val="22"/>
          <w:szCs w:val="22"/>
        </w:rPr>
        <w:t xml:space="preserve">Retromolar trigone</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 common site, especially with gutkha/paan use, but not the most common overall.</w:t>
      </w:r>
    </w:p>
    <w:p>
      <w:pPr>
        <w:spacing w:after="40"/>
        <w:ind w:left="360"/>
      </w:pPr>
      <w:r>
        <w:rPr>
          <w:b/>
          <w:bCs/>
          <w:sz w:val="20"/>
          <w:szCs w:val="20"/>
        </w:rPr>
        <w:t xml:space="preserve">B) </w:t>
      </w:r>
      <w:r>
        <w:rPr>
          <w:sz w:val="20"/>
          <w:szCs w:val="20"/>
        </w:rPr>
        <w:t xml:space="preserve">Incorrect — the second most common site, but not the most common.</w:t>
      </w:r>
    </w:p>
    <w:p>
      <w:pPr>
        <w:spacing w:after="40"/>
        <w:ind w:left="360"/>
      </w:pPr>
      <w:r>
        <w:rPr>
          <w:b/>
          <w:bCs/>
          <w:sz w:val="20"/>
          <w:szCs w:val="20"/>
        </w:rPr>
        <w:t xml:space="preserve">C) </w:t>
      </w:r>
      <w:r>
        <w:rPr>
          <w:sz w:val="20"/>
          <w:szCs w:val="20"/>
        </w:rPr>
        <w:t xml:space="preserve">Incorrect — an uncommon site for oral SCC.</w:t>
      </w:r>
    </w:p>
    <w:p>
      <w:pPr>
        <w:spacing w:after="40"/>
        <w:ind w:left="360"/>
      </w:pPr>
      <w:r>
        <w:rPr>
          <w:b/>
          <w:bCs/>
          <w:sz w:val="20"/>
          <w:szCs w:val="20"/>
        </w:rPr>
        <w:t xml:space="preserve">D) </w:t>
      </w:r>
      <w:r>
        <w:rPr>
          <w:sz w:val="20"/>
          <w:szCs w:val="20"/>
        </w:rPr>
        <w:t xml:space="preserve">Correct — the lateral/ventrolateral border of the tongue is the most common intraoral site for oral squamous cell carcinoma.</w:t>
      </w:r>
    </w:p>
    <w:p>
      <w:pPr>
        <w:spacing w:after="40"/>
        <w:ind w:left="360"/>
      </w:pPr>
      <w:r>
        <w:rPr>
          <w:b/>
          <w:bCs/>
          <w:sz w:val="20"/>
          <w:szCs w:val="20"/>
        </w:rPr>
        <w:t xml:space="preserve">E) </w:t>
      </w:r>
      <w:r>
        <w:rPr>
          <w:sz w:val="20"/>
          <w:szCs w:val="20"/>
        </w:rPr>
        <w:t xml:space="preserve">Incorrect — a recognized but less common site.</w:t>
      </w:r>
    </w:p>
    <w:p>
      <w:pPr>
        <w:spacing w:after="200"/>
      </w:pPr>
      <w:r>
        <w:rPr>
          <w:i/>
          <w:iCs/>
          <w:color w:val="595959"/>
          <w:sz w:val="16"/>
          <w:szCs w:val="16"/>
        </w:rPr>
        <w:t xml:space="preserve">Source: Pathology Outlines / USC review — Oral cavity SCC — https://www.pathologyoutlines.com/topic/oralcavityscc.html</w:t>
      </w:r>
    </w:p>
    <w:p>
      <w:pPr>
        <w:spacing w:after="120" w:before="300"/>
      </w:pPr>
      <w:r>
        <w:rPr>
          <w:b/>
          <w:bCs/>
          <w:sz w:val="24"/>
          <w:szCs w:val="24"/>
        </w:rPr>
        <w:t xml:space="preserve">4. </w:t>
      </w:r>
      <w:r>
        <w:rPr>
          <w:sz w:val="24"/>
          <w:szCs w:val="24"/>
        </w:rPr>
        <w:t xml:space="preserve">Histopathological examination of a resected tongue carcinoma measuring 1.5 cm in greatest surface diameter shows the tumor invading 7 mm beneath the level of the adjacent normal mucosa, as measured from a reference plane. There is no bone, skin, or other deep structure involvement.</w:t>
      </w:r>
    </w:p>
    <w:p>
      <w:pPr>
        <w:spacing w:after="120"/>
      </w:pPr>
      <w:r>
        <w:rPr>
          <w:i/>
          <w:iCs/>
          <w:sz w:val="24"/>
          <w:szCs w:val="24"/>
        </w:rPr>
        <w:t xml:space="preserve">According to the AJCC 8th edition staging system, how does the depth of invasion (DOI) affect this tumor's T-category compared to size alone?</w:t>
      </w:r>
    </w:p>
    <w:p>
      <w:pPr>
        <w:spacing w:after="60"/>
        <w:ind w:left="360"/>
      </w:pPr>
      <w:r>
        <w:rPr>
          <w:b/>
          <w:bCs/>
          <w:sz w:val="22"/>
          <w:szCs w:val="22"/>
        </w:rPr>
        <w:t xml:space="preserve">A) </w:t>
      </w:r>
      <w:r>
        <w:rPr>
          <w:sz w:val="22"/>
          <w:szCs w:val="22"/>
        </w:rPr>
        <w:t xml:space="preserve">DOI is irrelevant; only surface diameter determines the T-category</w:t>
      </w:r>
    </w:p>
    <w:p>
      <w:pPr>
        <w:spacing w:after="60"/>
        <w:ind w:left="360"/>
      </w:pPr>
      <w:r>
        <w:rPr>
          <w:b/>
          <w:bCs/>
          <w:sz w:val="22"/>
          <w:szCs w:val="22"/>
        </w:rPr>
        <w:t xml:space="preserve">B) </w:t>
      </w:r>
      <w:r>
        <w:rPr>
          <w:sz w:val="22"/>
          <w:szCs w:val="22"/>
        </w:rPr>
        <w:t xml:space="preserve">DOI of 7 mm downstages the tumor from what its size alone would suggest</w:t>
      </w:r>
    </w:p>
    <w:p>
      <w:pPr>
        <w:spacing w:after="60"/>
        <w:ind w:left="360"/>
      </w:pPr>
      <w:r>
        <w:rPr>
          <w:b/>
          <w:bCs/>
          <w:sz w:val="22"/>
          <w:szCs w:val="22"/>
        </w:rPr>
        <w:t xml:space="preserve">C) </w:t>
      </w:r>
      <w:r>
        <w:rPr>
          <w:sz w:val="22"/>
          <w:szCs w:val="22"/>
        </w:rPr>
        <w:t xml:space="preserve">DOI of 7 mm has no effect since it is below the 10 mm threshold</w:t>
      </w:r>
    </w:p>
    <w:p>
      <w:pPr>
        <w:spacing w:after="60"/>
        <w:ind w:left="360"/>
      </w:pPr>
      <w:r>
        <w:rPr>
          <w:b/>
          <w:bCs/>
          <w:sz w:val="22"/>
          <w:szCs w:val="22"/>
        </w:rPr>
        <w:t xml:space="preserve">D) </w:t>
      </w:r>
      <w:r>
        <w:rPr>
          <w:sz w:val="22"/>
          <w:szCs w:val="22"/>
        </w:rPr>
        <w:t xml:space="preserve">DOI of 7 mm upstages the tumor from T1 (by size) to T2, since it exceeds the 5 mm threshold</w:t>
      </w:r>
    </w:p>
    <w:p>
      <w:pPr>
        <w:spacing w:after="60"/>
        <w:ind w:left="360"/>
      </w:pPr>
      <w:r>
        <w:rPr>
          <w:b/>
          <w:bCs/>
          <w:sz w:val="22"/>
          <w:szCs w:val="22"/>
        </w:rPr>
        <w:t xml:space="preserve">E) </w:t>
      </w:r>
      <w:r>
        <w:rPr>
          <w:sz w:val="22"/>
          <w:szCs w:val="22"/>
        </w:rPr>
        <w:t xml:space="preserve">DOI is only relevant for buccal mucosa tumors, not tongue tumors</w:t>
      </w:r>
    </w:p>
    <w:p>
      <w:pPr>
        <w:spacing w:after="80" w:before="120"/>
      </w:pPr>
      <w:r>
        <w:rPr>
          <w:b/>
          <w:bCs/>
          <w:color w:val="006100"/>
          <w:sz w:val="24"/>
          <w:szCs w:val="24"/>
        </w:rPr>
        <w:t xml:space="preserve">Answer: D</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the 8th edition specifically incorporated DOI into T-staging for oral cavity cancer.</w:t>
      </w:r>
    </w:p>
    <w:p>
      <w:pPr>
        <w:spacing w:after="40"/>
        <w:ind w:left="360"/>
      </w:pPr>
      <w:r>
        <w:rPr>
          <w:b/>
          <w:bCs/>
          <w:sz w:val="20"/>
          <w:szCs w:val="20"/>
        </w:rPr>
        <w:t xml:space="preserve">B) </w:t>
      </w:r>
      <w:r>
        <w:rPr>
          <w:sz w:val="20"/>
          <w:szCs w:val="20"/>
        </w:rPr>
        <w:t xml:space="preserve">Incorrect — DOI can only upstage, not downstage, a tumor.</w:t>
      </w:r>
    </w:p>
    <w:p>
      <w:pPr>
        <w:spacing w:after="40"/>
        <w:ind w:left="360"/>
      </w:pPr>
      <w:r>
        <w:rPr>
          <w:b/>
          <w:bCs/>
          <w:sz w:val="20"/>
          <w:szCs w:val="20"/>
        </w:rPr>
        <w:t xml:space="preserve">C) </w:t>
      </w:r>
      <w:r>
        <w:rPr>
          <w:sz w:val="20"/>
          <w:szCs w:val="20"/>
        </w:rPr>
        <w:t xml:space="preserve">Incorrect — the tumor is affected because it exceeds the 5 mm threshold (relevant for T1→T2), even though it doesn't reach the 10 mm threshold (relevant for T2→T3).</w:t>
      </w:r>
    </w:p>
    <w:p>
      <w:pPr>
        <w:spacing w:after="40"/>
        <w:ind w:left="360"/>
      </w:pPr>
      <w:r>
        <w:rPr>
          <w:b/>
          <w:bCs/>
          <w:sz w:val="20"/>
          <w:szCs w:val="20"/>
        </w:rPr>
        <w:t xml:space="preserve">D) </w:t>
      </w:r>
      <w:r>
        <w:rPr>
          <w:sz w:val="20"/>
          <w:szCs w:val="20"/>
        </w:rPr>
        <w:t xml:space="preserve">Correct — although 1.5 cm surface size alone would suggest T1, a DOI &gt;5 mm (here 7 mm) upstages the tumor to T2, per AJCC 8th edition criteria.</w:t>
      </w:r>
    </w:p>
    <w:p>
      <w:pPr>
        <w:spacing w:after="40"/>
        <w:ind w:left="360"/>
      </w:pPr>
      <w:r>
        <w:rPr>
          <w:b/>
          <w:bCs/>
          <w:sz w:val="20"/>
          <w:szCs w:val="20"/>
        </w:rPr>
        <w:t xml:space="preserve">E) </w:t>
      </w:r>
      <w:r>
        <w:rPr>
          <w:sz w:val="20"/>
          <w:szCs w:val="20"/>
        </w:rPr>
        <w:t xml:space="preserve">Incorrect — DOI staging applies across oral cavity subsites, not just buccal mucosa.</w:t>
      </w:r>
    </w:p>
    <w:p>
      <w:pPr>
        <w:spacing w:after="200"/>
      </w:pPr>
      <w:r>
        <w:rPr>
          <w:i/>
          <w:iCs/>
          <w:color w:val="595959"/>
          <w:sz w:val="16"/>
          <w:szCs w:val="16"/>
        </w:rPr>
        <w:t xml:space="preserve">Source: PMC — Updated AJCC 8th edition staging for oral tongue cancer — https://pmc.ncbi.nlm.nih.gov/articles/PMC8798505/</w:t>
      </w:r>
    </w:p>
    <w:p>
      <w:pPr>
        <w:spacing w:after="120" w:before="300"/>
      </w:pPr>
      <w:r>
        <w:rPr>
          <w:b/>
          <w:bCs/>
          <w:sz w:val="24"/>
          <w:szCs w:val="24"/>
        </w:rPr>
        <w:t xml:space="preserve">5. </w:t>
      </w:r>
      <w:r>
        <w:rPr>
          <w:sz w:val="24"/>
          <w:szCs w:val="24"/>
        </w:rPr>
        <w:t xml:space="preserve">A 65-year-old woman has a buccal mucosa carcinoma measuring 4.5 cm in greatest dimension. Imaging and histopathology confirm invasion through the cortical bone of the mandible, but there is no involvement of the pterygoid plates, skull base, or carotid artery.</w:t>
      </w:r>
    </w:p>
    <w:p>
      <w:pPr>
        <w:spacing w:after="120"/>
      </w:pPr>
      <w:r>
        <w:rPr>
          <w:i/>
          <w:iCs/>
          <w:sz w:val="24"/>
          <w:szCs w:val="24"/>
        </w:rPr>
        <w:t xml:space="preserve">What is the correct T-category for this tumor?</w:t>
      </w:r>
    </w:p>
    <w:p>
      <w:pPr>
        <w:spacing w:after="60"/>
        <w:ind w:left="360"/>
      </w:pPr>
      <w:r>
        <w:rPr>
          <w:b/>
          <w:bCs/>
          <w:sz w:val="22"/>
          <w:szCs w:val="22"/>
        </w:rPr>
        <w:t xml:space="preserve">A) </w:t>
      </w:r>
      <w:r>
        <w:rPr>
          <w:sz w:val="22"/>
          <w:szCs w:val="22"/>
        </w:rPr>
        <w:t xml:space="preserve">T2</w:t>
      </w:r>
    </w:p>
    <w:p>
      <w:pPr>
        <w:spacing w:after="60"/>
        <w:ind w:left="360"/>
      </w:pPr>
      <w:r>
        <w:rPr>
          <w:b/>
          <w:bCs/>
          <w:sz w:val="22"/>
          <w:szCs w:val="22"/>
        </w:rPr>
        <w:t xml:space="preserve">B) </w:t>
      </w:r>
      <w:r>
        <w:rPr>
          <w:sz w:val="22"/>
          <w:szCs w:val="22"/>
        </w:rPr>
        <w:t xml:space="preserve">T3</w:t>
      </w:r>
    </w:p>
    <w:p>
      <w:pPr>
        <w:spacing w:after="60"/>
        <w:ind w:left="360"/>
      </w:pPr>
      <w:r>
        <w:rPr>
          <w:b/>
          <w:bCs/>
          <w:sz w:val="22"/>
          <w:szCs w:val="22"/>
        </w:rPr>
        <w:t xml:space="preserve">C) </w:t>
      </w:r>
      <w:r>
        <w:rPr>
          <w:sz w:val="22"/>
          <w:szCs w:val="22"/>
        </w:rPr>
        <w:t xml:space="preserve">T4a</w:t>
      </w:r>
    </w:p>
    <w:p>
      <w:pPr>
        <w:spacing w:after="60"/>
        <w:ind w:left="360"/>
      </w:pPr>
      <w:r>
        <w:rPr>
          <w:b/>
          <w:bCs/>
          <w:sz w:val="22"/>
          <w:szCs w:val="22"/>
        </w:rPr>
        <w:t xml:space="preserve">D) </w:t>
      </w:r>
      <w:r>
        <w:rPr>
          <w:sz w:val="22"/>
          <w:szCs w:val="22"/>
        </w:rPr>
        <w:t xml:space="preserve">T4b</w:t>
      </w:r>
    </w:p>
    <w:p>
      <w:pPr>
        <w:spacing w:after="60"/>
        <w:ind w:left="360"/>
      </w:pPr>
      <w:r>
        <w:rPr>
          <w:b/>
          <w:bCs/>
          <w:sz w:val="22"/>
          <w:szCs w:val="22"/>
        </w:rPr>
        <w:t xml:space="preserve">E) </w:t>
      </w:r>
      <w:r>
        <w:rPr>
          <w:sz w:val="22"/>
          <w:szCs w:val="22"/>
        </w:rPr>
        <w:t xml:space="preserve">Tis (carcinoma in situ)</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T2 is far too low for a 4.5 cm tumor with bone invasion.</w:t>
      </w:r>
    </w:p>
    <w:p>
      <w:pPr>
        <w:spacing w:after="40"/>
        <w:ind w:left="360"/>
      </w:pPr>
      <w:r>
        <w:rPr>
          <w:b/>
          <w:bCs/>
          <w:sz w:val="20"/>
          <w:szCs w:val="20"/>
        </w:rPr>
        <w:t xml:space="preserve">B) </w:t>
      </w:r>
      <w:r>
        <w:rPr>
          <w:sz w:val="20"/>
          <w:szCs w:val="20"/>
        </w:rPr>
        <w:t xml:space="preserve">Incorrect — T3 does not require bone invasion; this describes T4a-level involvement.</w:t>
      </w:r>
    </w:p>
    <w:p>
      <w:pPr>
        <w:spacing w:after="40"/>
        <w:ind w:left="360"/>
      </w:pPr>
      <w:r>
        <w:rPr>
          <w:b/>
          <w:bCs/>
          <w:sz w:val="20"/>
          <w:szCs w:val="20"/>
        </w:rPr>
        <w:t xml:space="preserve">C) </w:t>
      </w:r>
      <w:r>
        <w:rPr>
          <w:sz w:val="20"/>
          <w:szCs w:val="20"/>
        </w:rPr>
        <w:t xml:space="preserve">Correct — T4a ("moderately advanced local disease") includes tumor invasion through the cortical bone of the mandible or maxilla, matching this case.</w:t>
      </w:r>
    </w:p>
    <w:p>
      <w:pPr>
        <w:spacing w:after="40"/>
        <w:ind w:left="360"/>
      </w:pPr>
      <w:r>
        <w:rPr>
          <w:b/>
          <w:bCs/>
          <w:sz w:val="20"/>
          <w:szCs w:val="20"/>
        </w:rPr>
        <w:t xml:space="preserve">D) </w:t>
      </w:r>
      <w:r>
        <w:rPr>
          <w:sz w:val="20"/>
          <w:szCs w:val="20"/>
        </w:rPr>
        <w:t xml:space="preserve">Incorrect — T4b is reserved for invasion of the masticator space, pterygoid plates, skull base, or carotid artery encasement, none of which is present here.</w:t>
      </w:r>
    </w:p>
    <w:p>
      <w:pPr>
        <w:spacing w:after="40"/>
        <w:ind w:left="360"/>
      </w:pPr>
      <w:r>
        <w:rPr>
          <w:b/>
          <w:bCs/>
          <w:sz w:val="20"/>
          <w:szCs w:val="20"/>
        </w:rPr>
        <w:t xml:space="preserve">E) </w:t>
      </w:r>
      <w:r>
        <w:rPr>
          <w:sz w:val="20"/>
          <w:szCs w:val="20"/>
        </w:rPr>
        <w:t xml:space="preserve">Incorrect — this is clearly invasive, not in situ, disease.</w:t>
      </w:r>
    </w:p>
    <w:p>
      <w:pPr>
        <w:spacing w:after="200"/>
      </w:pPr>
      <w:r>
        <w:rPr>
          <w:i/>
          <w:iCs/>
          <w:color w:val="595959"/>
          <w:sz w:val="16"/>
          <w:szCs w:val="16"/>
        </w:rPr>
        <w:t xml:space="preserve">Source: Medscape/AJCC — Lip and Oral Cavity Cancer TNM Staging — https://reference.medscape.com/calculator/606/lip-and-oral-cavity-cancer-tnm-staging-pathological</w:t>
      </w:r>
    </w:p>
    <w:p>
      <w:pPr>
        <w:spacing w:after="120" w:before="300"/>
      </w:pPr>
      <w:r>
        <w:rPr>
          <w:b/>
          <w:bCs/>
          <w:sz w:val="24"/>
          <w:szCs w:val="24"/>
        </w:rPr>
        <w:t xml:space="preserve">6. </w:t>
      </w:r>
      <w:r>
        <w:rPr>
          <w:sz w:val="24"/>
          <w:szCs w:val="24"/>
        </w:rPr>
        <w:t xml:space="preserve">A 45-year-old man has a T1 squamous cell carcinoma of the lateral tongue with no clinically or radiologically palpable cervical lymphadenopathy (cN0 neck). The surgical team discusses two accepted strategies for managing the clinically negative neck at the time of primary tumor resection.</w:t>
      </w:r>
    </w:p>
    <w:p>
      <w:pPr>
        <w:spacing w:after="120"/>
      </w:pPr>
      <w:r>
        <w:rPr>
          <w:i/>
          <w:iCs/>
          <w:sz w:val="24"/>
          <w:szCs w:val="24"/>
        </w:rPr>
        <w:t xml:space="preserve">Based on current randomized trial evidence, how does sentinel lymph node biopsy (SLNB) compare with elective neck dissection (END) for this clinically N0 neck?</w:t>
      </w:r>
    </w:p>
    <w:p>
      <w:pPr>
        <w:spacing w:after="60"/>
        <w:ind w:left="360"/>
      </w:pPr>
      <w:r>
        <w:rPr>
          <w:b/>
          <w:bCs/>
          <w:sz w:val="22"/>
          <w:szCs w:val="22"/>
        </w:rPr>
        <w:t xml:space="preserve">A) </w:t>
      </w:r>
      <w:r>
        <w:rPr>
          <w:sz w:val="22"/>
          <w:szCs w:val="22"/>
        </w:rPr>
        <w:t xml:space="preserve">SLNB is associated with significantly worse regional recurrence and survival compared to END</w:t>
      </w:r>
    </w:p>
    <w:p>
      <w:pPr>
        <w:spacing w:after="60"/>
        <w:ind w:left="360"/>
      </w:pPr>
      <w:r>
        <w:rPr>
          <w:b/>
          <w:bCs/>
          <w:sz w:val="22"/>
          <w:szCs w:val="22"/>
        </w:rPr>
        <w:t xml:space="preserve">B) </w:t>
      </w:r>
      <w:r>
        <w:rPr>
          <w:sz w:val="22"/>
          <w:szCs w:val="22"/>
        </w:rPr>
        <w:t xml:space="preserve">SLNB is oncologically non-inferior to END, with comparable regional control and survival</w:t>
      </w:r>
    </w:p>
    <w:p>
      <w:pPr>
        <w:spacing w:after="60"/>
        <w:ind w:left="360"/>
      </w:pPr>
      <w:r>
        <w:rPr>
          <w:b/>
          <w:bCs/>
          <w:sz w:val="22"/>
          <w:szCs w:val="22"/>
        </w:rPr>
        <w:t xml:space="preserve">C) </w:t>
      </w:r>
      <w:r>
        <w:rPr>
          <w:sz w:val="22"/>
          <w:szCs w:val="22"/>
        </w:rPr>
        <w:t xml:space="preserve">SLNB is only validated for N1 or N2 necks, not N0</w:t>
      </w:r>
    </w:p>
    <w:p>
      <w:pPr>
        <w:spacing w:after="60"/>
        <w:ind w:left="360"/>
      </w:pPr>
      <w:r>
        <w:rPr>
          <w:b/>
          <w:bCs/>
          <w:sz w:val="22"/>
          <w:szCs w:val="22"/>
        </w:rPr>
        <w:t xml:space="preserve">D) </w:t>
      </w:r>
      <w:r>
        <w:rPr>
          <w:sz w:val="22"/>
          <w:szCs w:val="22"/>
        </w:rPr>
        <w:t xml:space="preserve">SLNB is superior to END in oncologic outcomes and should replace it in all cases</w:t>
      </w:r>
    </w:p>
    <w:p>
      <w:pPr>
        <w:spacing w:after="60"/>
        <w:ind w:left="360"/>
      </w:pPr>
      <w:r>
        <w:rPr>
          <w:b/>
          <w:bCs/>
          <w:sz w:val="22"/>
          <w:szCs w:val="22"/>
        </w:rPr>
        <w:t xml:space="preserve">E) </w:t>
      </w:r>
      <w:r>
        <w:rPr>
          <w:sz w:val="22"/>
          <w:szCs w:val="22"/>
        </w:rPr>
        <w:t xml:space="preserve">SLNB should never be used; watchful waiting alone is the accepted alternative to END</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trials and meta-analyses show comparable, not worse, outcomes with SLNB.</w:t>
      </w:r>
    </w:p>
    <w:p>
      <w:pPr>
        <w:spacing w:after="40"/>
        <w:ind w:left="360"/>
      </w:pPr>
      <w:r>
        <w:rPr>
          <w:b/>
          <w:bCs/>
          <w:sz w:val="20"/>
          <w:szCs w:val="20"/>
        </w:rPr>
        <w:t xml:space="preserve">B) </w:t>
      </w:r>
      <w:r>
        <w:rPr>
          <w:sz w:val="20"/>
          <w:szCs w:val="20"/>
        </w:rPr>
        <w:t xml:space="preserve">Correct — multiple prospective studies and a noninferiority randomized trial show SLNB is oncologically non-inferior to END for cN0 oral/oropharyngeal SCC, with similar regional recurrence, disease-free, and overall survival.</w:t>
      </w:r>
    </w:p>
    <w:p>
      <w:pPr>
        <w:spacing w:after="40"/>
        <w:ind w:left="360"/>
      </w:pPr>
      <w:r>
        <w:rPr>
          <w:b/>
          <w:bCs/>
          <w:sz w:val="20"/>
          <w:szCs w:val="20"/>
        </w:rPr>
        <w:t xml:space="preserve">C) </w:t>
      </w:r>
      <w:r>
        <w:rPr>
          <w:sz w:val="20"/>
          <w:szCs w:val="20"/>
        </w:rPr>
        <w:t xml:space="preserve">Incorrect — SLNB is specifically validated for the clinically N0 neck, not for clinically positive necks.</w:t>
      </w:r>
    </w:p>
    <w:p>
      <w:pPr>
        <w:spacing w:after="40"/>
        <w:ind w:left="360"/>
      </w:pPr>
      <w:r>
        <w:rPr>
          <w:b/>
          <w:bCs/>
          <w:sz w:val="20"/>
          <w:szCs w:val="20"/>
        </w:rPr>
        <w:t xml:space="preserve">D) </w:t>
      </w:r>
      <w:r>
        <w:rPr>
          <w:sz w:val="20"/>
          <w:szCs w:val="20"/>
        </w:rPr>
        <w:t xml:space="preserve">Incorrect — the evidence shows non-inferiority, not superiority.</w:t>
      </w:r>
    </w:p>
    <w:p>
      <w:pPr>
        <w:spacing w:after="40"/>
        <w:ind w:left="360"/>
      </w:pPr>
      <w:r>
        <w:rPr>
          <w:b/>
          <w:bCs/>
          <w:sz w:val="20"/>
          <w:szCs w:val="20"/>
        </w:rPr>
        <w:t xml:space="preserve">E) </w:t>
      </w:r>
      <w:r>
        <w:rPr>
          <w:sz w:val="20"/>
          <w:szCs w:val="20"/>
        </w:rPr>
        <w:t xml:space="preserve">Incorrect — SLNB is an accepted intermediate strategy between END and watchful waiting, not a reason to abandon active neck management.</w:t>
      </w:r>
    </w:p>
    <w:p>
      <w:pPr>
        <w:spacing w:after="200"/>
      </w:pPr>
      <w:r>
        <w:rPr>
          <w:i/>
          <w:iCs/>
          <w:color w:val="595959"/>
          <w:sz w:val="16"/>
          <w:szCs w:val="16"/>
        </w:rPr>
        <w:t xml:space="preserve">Source: Journal of Clinical Oncology — SLNB vs elective neck dissection trial — https://ascopubs.org/doi/full/10.1200/JCO.20.03637</w:t>
      </w:r>
    </w:p>
    <w:p>
      <w:pPr>
        <w:spacing w:after="120" w:before="300"/>
      </w:pPr>
      <w:r>
        <w:rPr>
          <w:b/>
          <w:bCs/>
          <w:sz w:val="24"/>
          <w:szCs w:val="24"/>
        </w:rPr>
        <w:t xml:space="preserve">7. </w:t>
      </w:r>
      <w:r>
        <w:rPr>
          <w:sz w:val="24"/>
          <w:szCs w:val="24"/>
        </w:rPr>
        <w:t xml:space="preserve">A 58-year-old man undergoes wide local excision and neck dissection for oral tongue carcinoma. Final histopathology reveals a positive deep resection margin and extranodal extension in one of the three positive lymph nodes. He is otherwise fit for further treatment.</w:t>
      </w:r>
    </w:p>
    <w:p>
      <w:pPr>
        <w:spacing w:after="120"/>
      </w:pPr>
      <w:r>
        <w:rPr>
          <w:i/>
          <w:iCs/>
          <w:sz w:val="24"/>
          <w:szCs w:val="24"/>
        </w:rPr>
        <w:t xml:space="preserve">Based on the landmark RTOG 9501 and EORTC 22931 trials, what is the most appropriate adjuvant treatment?</w:t>
      </w:r>
    </w:p>
    <w:p>
      <w:pPr>
        <w:spacing w:after="60"/>
        <w:ind w:left="360"/>
      </w:pPr>
      <w:r>
        <w:rPr>
          <w:b/>
          <w:bCs/>
          <w:sz w:val="22"/>
          <w:szCs w:val="22"/>
        </w:rPr>
        <w:t xml:space="preserve">A) </w:t>
      </w:r>
      <w:r>
        <w:rPr>
          <w:sz w:val="22"/>
          <w:szCs w:val="22"/>
        </w:rPr>
        <w:t xml:space="preserve">Adjuvant chemotherapy alone, without radiotherapy</w:t>
      </w:r>
    </w:p>
    <w:p>
      <w:pPr>
        <w:spacing w:after="60"/>
        <w:ind w:left="360"/>
      </w:pPr>
      <w:r>
        <w:rPr>
          <w:b/>
          <w:bCs/>
          <w:sz w:val="22"/>
          <w:szCs w:val="22"/>
        </w:rPr>
        <w:t xml:space="preserve">B) </w:t>
      </w:r>
      <w:r>
        <w:rPr>
          <w:sz w:val="22"/>
          <w:szCs w:val="22"/>
        </w:rPr>
        <w:t xml:space="preserve">Adjuvant radiotherapy alone, without chemotherapy</w:t>
      </w:r>
    </w:p>
    <w:p>
      <w:pPr>
        <w:spacing w:after="60"/>
        <w:ind w:left="360"/>
      </w:pPr>
      <w:r>
        <w:rPr>
          <w:b/>
          <w:bCs/>
          <w:sz w:val="22"/>
          <w:szCs w:val="22"/>
        </w:rPr>
        <w:t xml:space="preserve">C) </w:t>
      </w:r>
      <w:r>
        <w:rPr>
          <w:sz w:val="22"/>
          <w:szCs w:val="22"/>
        </w:rPr>
        <w:t xml:space="preserve">Concurrent cisplatin-based chemoradiotherapy</w:t>
      </w:r>
    </w:p>
    <w:p>
      <w:pPr>
        <w:spacing w:after="60"/>
        <w:ind w:left="360"/>
      </w:pPr>
      <w:r>
        <w:rPr>
          <w:b/>
          <w:bCs/>
          <w:sz w:val="22"/>
          <w:szCs w:val="22"/>
        </w:rPr>
        <w:t xml:space="preserve">D) </w:t>
      </w:r>
      <w:r>
        <w:rPr>
          <w:sz w:val="22"/>
          <w:szCs w:val="22"/>
        </w:rPr>
        <w:t xml:space="preserve">No further treatment; margin status alone does not warrant adjuvant therapy</w:t>
      </w:r>
    </w:p>
    <w:p>
      <w:pPr>
        <w:spacing w:after="60"/>
        <w:ind w:left="360"/>
      </w:pPr>
      <w:r>
        <w:rPr>
          <w:b/>
          <w:bCs/>
          <w:sz w:val="22"/>
          <w:szCs w:val="22"/>
        </w:rPr>
        <w:t xml:space="preserve">E) </w:t>
      </w:r>
      <w:r>
        <w:rPr>
          <w:sz w:val="22"/>
          <w:szCs w:val="22"/>
        </w:rPr>
        <w:t xml:space="preserve">Re-excision of the margin only, with observation of the neck</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chemotherapy alone is not standard; radiotherapy is required as the backbone of adjuvant treatment.</w:t>
      </w:r>
    </w:p>
    <w:p>
      <w:pPr>
        <w:spacing w:after="40"/>
        <w:ind w:left="360"/>
      </w:pPr>
      <w:r>
        <w:rPr>
          <w:b/>
          <w:bCs/>
          <w:sz w:val="20"/>
          <w:szCs w:val="20"/>
        </w:rPr>
        <w:t xml:space="preserve">B) </w:t>
      </w:r>
      <w:r>
        <w:rPr>
          <w:sz w:val="20"/>
          <w:szCs w:val="20"/>
        </w:rPr>
        <w:t xml:space="preserve">Incorrect — radiotherapy alone is insufficient for these specific high-risk features.</w:t>
      </w:r>
    </w:p>
    <w:p>
      <w:pPr>
        <w:spacing w:after="40"/>
        <w:ind w:left="360"/>
      </w:pPr>
      <w:r>
        <w:rPr>
          <w:b/>
          <w:bCs/>
          <w:sz w:val="20"/>
          <w:szCs w:val="20"/>
        </w:rPr>
        <w:t xml:space="preserve">C) </w:t>
      </w:r>
      <w:r>
        <w:rPr>
          <w:sz w:val="20"/>
          <w:szCs w:val="20"/>
        </w:rPr>
        <w:t xml:space="preserve">Correct — positive margins and extranodal extension are the two high-risk features shown by RTOG 9501/EORTC 22931 to benefit from added concurrent cisplatin chemotherapy on top of postoperative radiotherapy.</w:t>
      </w:r>
    </w:p>
    <w:p>
      <w:pPr>
        <w:spacing w:after="40"/>
        <w:ind w:left="360"/>
      </w:pPr>
      <w:r>
        <w:rPr>
          <w:b/>
          <w:bCs/>
          <w:sz w:val="20"/>
          <w:szCs w:val="20"/>
        </w:rPr>
        <w:t xml:space="preserve">D) </w:t>
      </w:r>
      <w:r>
        <w:rPr>
          <w:sz w:val="20"/>
          <w:szCs w:val="20"/>
        </w:rPr>
        <w:t xml:space="preserve">Incorrect — positive margins and ECE are well-established absolute indications for adjuvant chemoradiation.</w:t>
      </w:r>
    </w:p>
    <w:p>
      <w:pPr>
        <w:spacing w:after="40"/>
        <w:ind w:left="360"/>
      </w:pPr>
      <w:r>
        <w:rPr>
          <w:b/>
          <w:bCs/>
          <w:sz w:val="20"/>
          <w:szCs w:val="20"/>
        </w:rPr>
        <w:t xml:space="preserve">E) </w:t>
      </w:r>
      <w:r>
        <w:rPr>
          <w:sz w:val="20"/>
          <w:szCs w:val="20"/>
        </w:rPr>
        <w:t xml:space="preserve">Incorrect — re-excision alone does not address the demonstrated extranodal extension.</w:t>
      </w:r>
    </w:p>
    <w:p>
      <w:pPr>
        <w:spacing w:after="200"/>
      </w:pPr>
      <w:r>
        <w:rPr>
          <w:i/>
          <w:iCs/>
          <w:color w:val="595959"/>
          <w:sz w:val="16"/>
          <w:szCs w:val="16"/>
        </w:rPr>
        <w:t xml:space="preserve">Source: Adjunctive Therapy in Oral Cancer review (RTOG/EORTC pooled analysis) — https://link.springer.com/chapter/10.1007/978-981-15-1346-6_84</w:t>
      </w:r>
    </w:p>
    <w:p>
      <w:pPr>
        <w:spacing w:after="120" w:before="300"/>
      </w:pPr>
      <w:r>
        <w:rPr>
          <w:b/>
          <w:bCs/>
          <w:sz w:val="24"/>
          <w:szCs w:val="24"/>
        </w:rPr>
        <w:t xml:space="preserve">8. </w:t>
      </w:r>
      <w:r>
        <w:rPr>
          <w:sz w:val="24"/>
          <w:szCs w:val="24"/>
        </w:rPr>
        <w:t xml:space="preserve">A 62-year-old man has a gingivobuccal sulcus carcinoma abutting the mandible, discovered on routine oral cancer screening. Imaging and intraoperative assessment show erosion limited to the cortical bone without medullary or inferior alveolar canal involvement. The surgical team plans bony resection alongside the primary tumor.</w:t>
      </w:r>
    </w:p>
    <w:p>
      <w:pPr>
        <w:spacing w:after="120"/>
      </w:pPr>
      <w:r>
        <w:rPr>
          <w:i/>
          <w:iCs/>
          <w:sz w:val="24"/>
          <w:szCs w:val="24"/>
        </w:rPr>
        <w:t xml:space="preserve">Given the extent of bone involvement described, which surgical approach is most appropriate?</w:t>
      </w:r>
    </w:p>
    <w:p>
      <w:pPr>
        <w:spacing w:after="60"/>
        <w:ind w:left="360"/>
      </w:pPr>
      <w:r>
        <w:rPr>
          <w:b/>
          <w:bCs/>
          <w:sz w:val="22"/>
          <w:szCs w:val="22"/>
        </w:rPr>
        <w:t xml:space="preserve">A) </w:t>
      </w:r>
      <w:r>
        <w:rPr>
          <w:sz w:val="22"/>
          <w:szCs w:val="22"/>
        </w:rPr>
        <w:t xml:space="preserve">Marginal mandibulectomy, preserving mandibular continuity</w:t>
      </w:r>
    </w:p>
    <w:p>
      <w:pPr>
        <w:spacing w:after="60"/>
        <w:ind w:left="360"/>
      </w:pPr>
      <w:r>
        <w:rPr>
          <w:b/>
          <w:bCs/>
          <w:sz w:val="22"/>
          <w:szCs w:val="22"/>
        </w:rPr>
        <w:t xml:space="preserve">B) </w:t>
      </w:r>
      <w:r>
        <w:rPr>
          <w:sz w:val="22"/>
          <w:szCs w:val="22"/>
        </w:rPr>
        <w:t xml:space="preserve">No bony resection is needed since the tumor only abuts the mandible</w:t>
      </w:r>
    </w:p>
    <w:p>
      <w:pPr>
        <w:spacing w:after="60"/>
        <w:ind w:left="360"/>
      </w:pPr>
      <w:r>
        <w:rPr>
          <w:b/>
          <w:bCs/>
          <w:sz w:val="22"/>
          <w:szCs w:val="22"/>
        </w:rPr>
        <w:t xml:space="preserve">C) </w:t>
      </w:r>
      <w:r>
        <w:rPr>
          <w:sz w:val="22"/>
          <w:szCs w:val="22"/>
        </w:rPr>
        <w:t xml:space="preserve">Radical maxillectomy</w:t>
      </w:r>
    </w:p>
    <w:p>
      <w:pPr>
        <w:spacing w:after="60"/>
        <w:ind w:left="360"/>
      </w:pPr>
      <w:r>
        <w:rPr>
          <w:b/>
          <w:bCs/>
          <w:sz w:val="22"/>
          <w:szCs w:val="22"/>
        </w:rPr>
        <w:t xml:space="preserve">D) </w:t>
      </w:r>
      <w:r>
        <w:rPr>
          <w:sz w:val="22"/>
          <w:szCs w:val="22"/>
        </w:rPr>
        <w:t xml:space="preserve">Segmental mandibulectomy with resection of a mandibular segment</w:t>
      </w:r>
    </w:p>
    <w:p>
      <w:pPr>
        <w:spacing w:after="60"/>
        <w:ind w:left="360"/>
      </w:pPr>
      <w:r>
        <w:rPr>
          <w:b/>
          <w:bCs/>
          <w:sz w:val="22"/>
          <w:szCs w:val="22"/>
        </w:rPr>
        <w:t xml:space="preserve">E) </w:t>
      </w:r>
      <w:r>
        <w:rPr>
          <w:sz w:val="22"/>
          <w:szCs w:val="22"/>
        </w:rPr>
        <w:t xml:space="preserve">Total mandibulectomy</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marginal mandibulectomy is appropriate for tumors with no or only superficial/cortical bone invasion, preserving mandibular continuity with comparable oncologic outcomes and better functional/cosmetic results than segmental resection.</w:t>
      </w:r>
    </w:p>
    <w:p>
      <w:pPr>
        <w:spacing w:after="40"/>
        <w:ind w:left="360"/>
      </w:pPr>
      <w:r>
        <w:rPr>
          <w:b/>
          <w:bCs/>
          <w:sz w:val="20"/>
          <w:szCs w:val="20"/>
        </w:rPr>
        <w:t xml:space="preserve">B) </w:t>
      </w:r>
      <w:r>
        <w:rPr>
          <w:sz w:val="20"/>
          <w:szCs w:val="20"/>
        </w:rPr>
        <w:t xml:space="preserve">Incorrect — cortical erosion is present, so some bony resection is indicated, not observation alone.</w:t>
      </w:r>
    </w:p>
    <w:p>
      <w:pPr>
        <w:spacing w:after="40"/>
        <w:ind w:left="360"/>
      </w:pPr>
      <w:r>
        <w:rPr>
          <w:b/>
          <w:bCs/>
          <w:sz w:val="20"/>
          <w:szCs w:val="20"/>
        </w:rPr>
        <w:t xml:space="preserve">C) </w:t>
      </w:r>
      <w:r>
        <w:rPr>
          <w:sz w:val="20"/>
          <w:szCs w:val="20"/>
        </w:rPr>
        <w:t xml:space="preserve">Incorrect — maxillectomy is irrelevant to a mandibular gingivobuccal lesion.</w:t>
      </w:r>
    </w:p>
    <w:p>
      <w:pPr>
        <w:spacing w:after="40"/>
        <w:ind w:left="360"/>
      </w:pPr>
      <w:r>
        <w:rPr>
          <w:b/>
          <w:bCs/>
          <w:sz w:val="20"/>
          <w:szCs w:val="20"/>
        </w:rPr>
        <w:t xml:space="preserve">D) </w:t>
      </w:r>
      <w:r>
        <w:rPr>
          <w:sz w:val="20"/>
          <w:szCs w:val="20"/>
        </w:rPr>
        <w:t xml:space="preserve">Incorrect — segmental mandibulectomy is reserved for extensive cortical, medullary, or inferior alveolar canal invasion, not present here.</w:t>
      </w:r>
    </w:p>
    <w:p>
      <w:pPr>
        <w:spacing w:after="40"/>
        <w:ind w:left="360"/>
      </w:pPr>
      <w:r>
        <w:rPr>
          <w:b/>
          <w:bCs/>
          <w:sz w:val="20"/>
          <w:szCs w:val="20"/>
        </w:rPr>
        <w:t xml:space="preserve">E) </w:t>
      </w:r>
      <w:r>
        <w:rPr>
          <w:sz w:val="20"/>
          <w:szCs w:val="20"/>
        </w:rPr>
        <w:t xml:space="preserve">Incorrect — total mandibulectomy is excessive and not indicated for this degree of involvement.</w:t>
      </w:r>
    </w:p>
    <w:p>
      <w:pPr>
        <w:spacing w:after="200"/>
      </w:pPr>
      <w:r>
        <w:rPr>
          <w:i/>
          <w:iCs/>
          <w:color w:val="595959"/>
          <w:sz w:val="16"/>
          <w:szCs w:val="16"/>
        </w:rPr>
        <w:t xml:space="preserve">Source: PMC — Marginal Mandibulectomy in Oral Cavity Cancers: Classification and Indications — https://www.ncbi.nlm.nih.gov/pmc/articles/PMC12052715/</w:t>
      </w:r>
    </w:p>
    <w:p>
      <w:pPr>
        <w:spacing w:after="120" w:before="300"/>
      </w:pPr>
      <w:r>
        <w:rPr>
          <w:b/>
          <w:bCs/>
          <w:sz w:val="24"/>
          <w:szCs w:val="24"/>
        </w:rPr>
        <w:t xml:space="preserve">9. </w:t>
      </w:r>
      <w:r>
        <w:rPr>
          <w:sz w:val="24"/>
          <w:szCs w:val="24"/>
        </w:rPr>
        <w:t xml:space="preserve">During surgery for a T2N1 oral tongue carcinoma, the surgeon removes lymph nodes from all five levels of the neck (I-V) but deliberately preserves the spinal accessory nerve, internal jugular vein, and sternocleidomastoid muscle, all of which appear uninvolved by tumor.</w:t>
      </w:r>
    </w:p>
    <w:p>
      <w:pPr>
        <w:spacing w:after="120"/>
      </w:pPr>
      <w:r>
        <w:rPr>
          <w:i/>
          <w:iCs/>
          <w:sz w:val="24"/>
          <w:szCs w:val="24"/>
        </w:rPr>
        <w:t xml:space="preserve">What type of neck dissection has been performed?</w:t>
      </w:r>
    </w:p>
    <w:p>
      <w:pPr>
        <w:spacing w:after="60"/>
        <w:ind w:left="360"/>
      </w:pPr>
      <w:r>
        <w:rPr>
          <w:b/>
          <w:bCs/>
          <w:sz w:val="22"/>
          <w:szCs w:val="22"/>
        </w:rPr>
        <w:t xml:space="preserve">A) </w:t>
      </w:r>
      <w:r>
        <w:rPr>
          <w:sz w:val="22"/>
          <w:szCs w:val="22"/>
        </w:rPr>
        <w:t xml:space="preserve">Extended radical neck dissection</w:t>
      </w:r>
    </w:p>
    <w:p>
      <w:pPr>
        <w:spacing w:after="60"/>
        <w:ind w:left="360"/>
      </w:pPr>
      <w:r>
        <w:rPr>
          <w:b/>
          <w:bCs/>
          <w:sz w:val="22"/>
          <w:szCs w:val="22"/>
        </w:rPr>
        <w:t xml:space="preserve">B) </w:t>
      </w:r>
      <w:r>
        <w:rPr>
          <w:sz w:val="22"/>
          <w:szCs w:val="22"/>
        </w:rPr>
        <w:t xml:space="preserve">Modified radical neck dissection, type III</w:t>
      </w:r>
    </w:p>
    <w:p>
      <w:pPr>
        <w:spacing w:after="60"/>
        <w:ind w:left="360"/>
      </w:pPr>
      <w:r>
        <w:rPr>
          <w:b/>
          <w:bCs/>
          <w:sz w:val="22"/>
          <w:szCs w:val="22"/>
        </w:rPr>
        <w:t xml:space="preserve">C) </w:t>
      </w:r>
      <w:r>
        <w:rPr>
          <w:sz w:val="22"/>
          <w:szCs w:val="22"/>
        </w:rPr>
        <w:t xml:space="preserve">Radical neck dissection</w:t>
      </w:r>
    </w:p>
    <w:p>
      <w:pPr>
        <w:spacing w:after="60"/>
        <w:ind w:left="360"/>
      </w:pPr>
      <w:r>
        <w:rPr>
          <w:b/>
          <w:bCs/>
          <w:sz w:val="22"/>
          <w:szCs w:val="22"/>
        </w:rPr>
        <w:t xml:space="preserve">D) </w:t>
      </w:r>
      <w:r>
        <w:rPr>
          <w:sz w:val="22"/>
          <w:szCs w:val="22"/>
        </w:rPr>
        <w:t xml:space="preserve">Selective neck dissection (levels I-III)</w:t>
      </w:r>
    </w:p>
    <w:p>
      <w:pPr>
        <w:spacing w:after="60"/>
        <w:ind w:left="360"/>
      </w:pPr>
      <w:r>
        <w:rPr>
          <w:b/>
          <w:bCs/>
          <w:sz w:val="22"/>
          <w:szCs w:val="22"/>
        </w:rPr>
        <w:t xml:space="preserve">E) </w:t>
      </w:r>
      <w:r>
        <w:rPr>
          <w:sz w:val="22"/>
          <w:szCs w:val="22"/>
        </w:rPr>
        <w:t xml:space="preserve">Supraomohyoid neck dissection</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an extended radical dissection would remove additional non-lymphatic structures beyond the standard radical dissection, not fewer.</w:t>
      </w:r>
    </w:p>
    <w:p>
      <w:pPr>
        <w:spacing w:after="40"/>
        <w:ind w:left="360"/>
      </w:pPr>
      <w:r>
        <w:rPr>
          <w:b/>
          <w:bCs/>
          <w:sz w:val="20"/>
          <w:szCs w:val="20"/>
        </w:rPr>
        <w:t xml:space="preserve">B) </w:t>
      </w:r>
      <w:r>
        <w:rPr>
          <w:sz w:val="20"/>
          <w:szCs w:val="20"/>
        </w:rPr>
        <w:t xml:space="preserve">Correct — removing all five nodal levels while sparing all three non-lymphatic structures (spinal accessory nerve, internal jugular vein, sternocleidomastoid) defines modified radical neck dissection type III.</w:t>
      </w:r>
    </w:p>
    <w:p>
      <w:pPr>
        <w:spacing w:after="40"/>
        <w:ind w:left="360"/>
      </w:pPr>
      <w:r>
        <w:rPr>
          <w:b/>
          <w:bCs/>
          <w:sz w:val="20"/>
          <w:szCs w:val="20"/>
        </w:rPr>
        <w:t xml:space="preserve">C) </w:t>
      </w:r>
      <w:r>
        <w:rPr>
          <w:sz w:val="20"/>
          <w:szCs w:val="20"/>
        </w:rPr>
        <w:t xml:space="preserve">Incorrect — a true radical neck dissection removes all three non-lymphatic structures along with all five levels; here they were preserved.</w:t>
      </w:r>
    </w:p>
    <w:p>
      <w:pPr>
        <w:spacing w:after="40"/>
        <w:ind w:left="360"/>
      </w:pPr>
      <w:r>
        <w:rPr>
          <w:b/>
          <w:bCs/>
          <w:sz w:val="20"/>
          <w:szCs w:val="20"/>
        </w:rPr>
        <w:t xml:space="preserve">D) </w:t>
      </w:r>
      <w:r>
        <w:rPr>
          <w:sz w:val="20"/>
          <w:szCs w:val="20"/>
        </w:rPr>
        <w:t xml:space="preserve">Incorrect — selective neck dissection removes fewer than all five levels; here all five were removed.</w:t>
      </w:r>
    </w:p>
    <w:p>
      <w:pPr>
        <w:spacing w:after="40"/>
        <w:ind w:left="360"/>
      </w:pPr>
      <w:r>
        <w:rPr>
          <w:b/>
          <w:bCs/>
          <w:sz w:val="20"/>
          <w:szCs w:val="20"/>
        </w:rPr>
        <w:t xml:space="preserve">E) </w:t>
      </w:r>
      <w:r>
        <w:rPr>
          <w:sz w:val="20"/>
          <w:szCs w:val="20"/>
        </w:rPr>
        <w:t xml:space="preserve">Incorrect — supraomohyoid dissection is a selective dissection of levels I-III only, not all five levels.</w:t>
      </w:r>
    </w:p>
    <w:p>
      <w:pPr>
        <w:spacing w:after="200"/>
      </w:pPr>
      <w:r>
        <w:rPr>
          <w:i/>
          <w:iCs/>
          <w:color w:val="595959"/>
          <w:sz w:val="16"/>
          <w:szCs w:val="16"/>
        </w:rPr>
        <w:t xml:space="preserve">Source: StatPearls — Radical Neck Dissection — https://www.ncbi.nlm.nih.gov/books/NBK563186/</w:t>
      </w:r>
    </w:p>
    <w:p>
      <w:pPr>
        <w:spacing w:after="120" w:before="300"/>
      </w:pPr>
      <w:r>
        <w:rPr>
          <w:b/>
          <w:bCs/>
          <w:sz w:val="24"/>
          <w:szCs w:val="24"/>
        </w:rPr>
        <w:t xml:space="preserve">10. </w:t>
      </w:r>
      <w:r>
        <w:rPr>
          <w:sz w:val="24"/>
          <w:szCs w:val="24"/>
        </w:rPr>
        <w:t xml:space="preserve">A 68-year-old long-term smokeless tobacco user has a slow-growing, exophytic, cauliflower-like white lesion on his buccal mucosa. The surface is warty without ulceration. Biopsy shows a well-differentiated squamous proliferation with a pushing rather than infiltrative growth pattern, and no cervical lymphadenopathy is found.</w:t>
      </w:r>
    </w:p>
    <w:p>
      <w:pPr>
        <w:spacing w:after="120"/>
      </w:pPr>
      <w:r>
        <w:rPr>
          <w:i/>
          <w:iCs/>
          <w:sz w:val="24"/>
          <w:szCs w:val="24"/>
        </w:rPr>
        <w:t xml:space="preserve">What is the most likely diagnosis, and what is a key feature distinguishing it from conventional squamous cell carcinoma?</w:t>
      </w:r>
    </w:p>
    <w:p>
      <w:pPr>
        <w:spacing w:after="60"/>
        <w:ind w:left="360"/>
      </w:pPr>
      <w:r>
        <w:rPr>
          <w:b/>
          <w:bCs/>
          <w:sz w:val="22"/>
          <w:szCs w:val="22"/>
        </w:rPr>
        <w:t xml:space="preserve">A) </w:t>
      </w:r>
      <w:r>
        <w:rPr>
          <w:sz w:val="22"/>
          <w:szCs w:val="22"/>
        </w:rPr>
        <w:t xml:space="preserve">Conventional invasive SCC; distinguished by early lymph node metastasis</w:t>
      </w:r>
    </w:p>
    <w:p>
      <w:pPr>
        <w:spacing w:after="60"/>
        <w:ind w:left="360"/>
      </w:pPr>
      <w:r>
        <w:rPr>
          <w:b/>
          <w:bCs/>
          <w:sz w:val="22"/>
          <w:szCs w:val="22"/>
        </w:rPr>
        <w:t xml:space="preserve">B) </w:t>
      </w:r>
      <w:r>
        <w:rPr>
          <w:sz w:val="22"/>
          <w:szCs w:val="22"/>
        </w:rPr>
        <w:t xml:space="preserve">Necrotizing sialometaplasia; distinguished by spontaneous resolution</w:t>
      </w:r>
    </w:p>
    <w:p>
      <w:pPr>
        <w:spacing w:after="60"/>
        <w:ind w:left="360"/>
      </w:pPr>
      <w:r>
        <w:rPr>
          <w:b/>
          <w:bCs/>
          <w:sz w:val="22"/>
          <w:szCs w:val="22"/>
        </w:rPr>
        <w:t xml:space="preserve">C) </w:t>
      </w:r>
      <w:r>
        <w:rPr>
          <w:sz w:val="22"/>
          <w:szCs w:val="22"/>
        </w:rPr>
        <w:t xml:space="preserve">Oral submucous fibrosis; distinguished by fibrous banding</w:t>
      </w:r>
    </w:p>
    <w:p>
      <w:pPr>
        <w:spacing w:after="60"/>
        <w:ind w:left="360"/>
      </w:pPr>
      <w:r>
        <w:rPr>
          <w:b/>
          <w:bCs/>
          <w:sz w:val="22"/>
          <w:szCs w:val="22"/>
        </w:rPr>
        <w:t xml:space="preserve">D) </w:t>
      </w:r>
      <w:r>
        <w:rPr>
          <w:sz w:val="22"/>
          <w:szCs w:val="22"/>
        </w:rPr>
        <w:t xml:space="preserve">Pyogenic granuloma; distinguished by rapid bleeding</w:t>
      </w:r>
    </w:p>
    <w:p>
      <w:pPr>
        <w:spacing w:after="60"/>
        <w:ind w:left="360"/>
      </w:pPr>
      <w:r>
        <w:rPr>
          <w:b/>
          <w:bCs/>
          <w:sz w:val="22"/>
          <w:szCs w:val="22"/>
        </w:rPr>
        <w:t xml:space="preserve">E) </w:t>
      </w:r>
      <w:r>
        <w:rPr>
          <w:sz w:val="22"/>
          <w:szCs w:val="22"/>
        </w:rPr>
        <w:t xml:space="preserve">Verrucous carcinoma; distinguished by a pushing growth pattern with minimal metastatic potential</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conventional SCC shows infiltrative growth and ulceration, and metastasizes more readily — the opposite of what's described.</w:t>
      </w:r>
    </w:p>
    <w:p>
      <w:pPr>
        <w:spacing w:after="40"/>
        <w:ind w:left="360"/>
      </w:pPr>
      <w:r>
        <w:rPr>
          <w:b/>
          <w:bCs/>
          <w:sz w:val="20"/>
          <w:szCs w:val="20"/>
        </w:rPr>
        <w:t xml:space="preserve">B) </w:t>
      </w:r>
      <w:r>
        <w:rPr>
          <w:sz w:val="20"/>
          <w:szCs w:val="20"/>
        </w:rPr>
        <w:t xml:space="preserve">Incorrect — unrelated benign reactive condition, doesn't match this exophytic warty growth.</w:t>
      </w:r>
    </w:p>
    <w:p>
      <w:pPr>
        <w:spacing w:after="40"/>
        <w:ind w:left="360"/>
      </w:pPr>
      <w:r>
        <w:rPr>
          <w:b/>
          <w:bCs/>
          <w:sz w:val="20"/>
          <w:szCs w:val="20"/>
        </w:rPr>
        <w:t xml:space="preserve">C) </w:t>
      </w:r>
      <w:r>
        <w:rPr>
          <w:sz w:val="20"/>
          <w:szCs w:val="20"/>
        </w:rPr>
        <w:t xml:space="preserve">Incorrect — OSMF causes fibrous bands and trismus, not an exophytic mass.</w:t>
      </w:r>
    </w:p>
    <w:p>
      <w:pPr>
        <w:spacing w:after="40"/>
        <w:ind w:left="360"/>
      </w:pPr>
      <w:r>
        <w:rPr>
          <w:b/>
          <w:bCs/>
          <w:sz w:val="20"/>
          <w:szCs w:val="20"/>
        </w:rPr>
        <w:t xml:space="preserve">D) </w:t>
      </w:r>
      <w:r>
        <w:rPr>
          <w:sz w:val="20"/>
          <w:szCs w:val="20"/>
        </w:rPr>
        <w:t xml:space="preserve">Incorrect — pyogenic granuloma is a vascular reactive lesion, not this histology.</w:t>
      </w:r>
    </w:p>
    <w:p>
      <w:pPr>
        <w:spacing w:after="40"/>
        <w:ind w:left="360"/>
      </w:pPr>
      <w:r>
        <w:rPr>
          <w:b/>
          <w:bCs/>
          <w:sz w:val="20"/>
          <w:szCs w:val="20"/>
        </w:rPr>
        <w:t xml:space="preserve">E) </w:t>
      </w:r>
      <w:r>
        <w:rPr>
          <w:sz w:val="20"/>
          <w:szCs w:val="20"/>
        </w:rPr>
        <w:t xml:space="preserve">Correct — the exophytic, cauliflower-like, non-ulcerated appearance with pushing (not infiltrative) invasion and low metastatic potential is characteristic of verrucous carcinoma, a distinct, well-differentiated variant of oral SCC.</w:t>
      </w:r>
    </w:p>
    <w:p>
      <w:pPr>
        <w:spacing w:after="200"/>
      </w:pPr>
      <w:r>
        <w:rPr>
          <w:i/>
          <w:iCs/>
          <w:color w:val="595959"/>
          <w:sz w:val="16"/>
          <w:szCs w:val="16"/>
        </w:rPr>
        <w:t xml:space="preserve">Source: PMC — Verrucous Carcinoma review — https://pmc.ncbi.nlm.nih.gov/articles/PMC2989749/</w:t>
      </w:r>
    </w:p>
    <w:p>
      <w:pPr>
        <w:spacing w:after="120" w:before="300"/>
      </w:pPr>
      <w:r>
        <w:rPr>
          <w:b/>
          <w:bCs/>
          <w:sz w:val="24"/>
          <w:szCs w:val="24"/>
        </w:rPr>
        <w:t xml:space="preserve">11. </w:t>
      </w:r>
      <w:r>
        <w:rPr>
          <w:sz w:val="24"/>
          <w:szCs w:val="24"/>
        </w:rPr>
        <w:t xml:space="preserve">Eighteen months after completing radiotherapy for oral tongue carcinoma with a mandibular dose exceeding 70 Gy, a 60-year-old man develops persistent jaw pain, exposed necrotic bone in the mandible, and a non-healing mucosal defect, without evidence of tumor recurrence on biopsy.</w:t>
      </w:r>
    </w:p>
    <w:p>
      <w:pPr>
        <w:spacing w:after="120"/>
      </w:pPr>
      <w:r>
        <w:rPr>
          <w:i/>
          <w:iCs/>
          <w:sz w:val="24"/>
          <w:szCs w:val="24"/>
        </w:rPr>
        <w:t xml:space="preserve">What is the most likely diagnosis, and which factor was most directly implicated in its development?</w:t>
      </w:r>
    </w:p>
    <w:p>
      <w:pPr>
        <w:spacing w:after="60"/>
        <w:ind w:left="360"/>
      </w:pPr>
      <w:r>
        <w:rPr>
          <w:b/>
          <w:bCs/>
          <w:sz w:val="22"/>
          <w:szCs w:val="22"/>
        </w:rPr>
        <w:t xml:space="preserve">A) </w:t>
      </w:r>
      <w:r>
        <w:rPr>
          <w:sz w:val="22"/>
          <w:szCs w:val="22"/>
        </w:rPr>
        <w:t xml:space="preserve">Bisphosphonate-related osteonecrosis of the jaw; recent bisphosphonate use</w:t>
      </w:r>
    </w:p>
    <w:p>
      <w:pPr>
        <w:spacing w:after="60"/>
        <w:ind w:left="360"/>
      </w:pPr>
      <w:r>
        <w:rPr>
          <w:b/>
          <w:bCs/>
          <w:sz w:val="22"/>
          <w:szCs w:val="22"/>
        </w:rPr>
        <w:t xml:space="preserve">B) </w:t>
      </w:r>
      <w:r>
        <w:rPr>
          <w:sz w:val="22"/>
          <w:szCs w:val="22"/>
        </w:rPr>
        <w:t xml:space="preserve">Local recurrence of oral cancer; residual tumor cells</w:t>
      </w:r>
    </w:p>
    <w:p>
      <w:pPr>
        <w:spacing w:after="60"/>
        <w:ind w:left="360"/>
      </w:pPr>
      <w:r>
        <w:rPr>
          <w:b/>
          <w:bCs/>
          <w:sz w:val="22"/>
          <w:szCs w:val="22"/>
        </w:rPr>
        <w:t xml:space="preserve">C) </w:t>
      </w:r>
      <w:r>
        <w:rPr>
          <w:sz w:val="22"/>
          <w:szCs w:val="22"/>
        </w:rPr>
        <w:t xml:space="preserve">Ludwig's angina; odontogenic infection</w:t>
      </w:r>
    </w:p>
    <w:p>
      <w:pPr>
        <w:spacing w:after="60"/>
        <w:ind w:left="360"/>
      </w:pPr>
      <w:r>
        <w:rPr>
          <w:b/>
          <w:bCs/>
          <w:sz w:val="22"/>
          <w:szCs w:val="22"/>
        </w:rPr>
        <w:t xml:space="preserve">D) </w:t>
      </w:r>
      <w:r>
        <w:rPr>
          <w:sz w:val="22"/>
          <w:szCs w:val="22"/>
        </w:rPr>
        <w:t xml:space="preserve">Mandibular osteomyelitis; untreated dental caries</w:t>
      </w:r>
    </w:p>
    <w:p>
      <w:pPr>
        <w:spacing w:after="60"/>
        <w:ind w:left="360"/>
      </w:pPr>
      <w:r>
        <w:rPr>
          <w:b/>
          <w:bCs/>
          <w:sz w:val="22"/>
          <w:szCs w:val="22"/>
        </w:rPr>
        <w:t xml:space="preserve">E) </w:t>
      </w:r>
      <w:r>
        <w:rPr>
          <w:sz w:val="22"/>
          <w:szCs w:val="22"/>
        </w:rPr>
        <w:t xml:space="preserve">Osteoradionecrosis; radiation dose to the mandible exceeding safe threshold</w:t>
      </w:r>
    </w:p>
    <w:p>
      <w:pPr>
        <w:spacing w:after="80" w:before="120"/>
      </w:pPr>
      <w:r>
        <w:rPr>
          <w:b/>
          <w:bCs/>
          <w:color w:val="006100"/>
          <w:sz w:val="24"/>
          <w:szCs w:val="24"/>
        </w:rPr>
        <w:t xml:space="preserve">Answer: E</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no mention of bisphosphonate use; the history points to radiation as the cause.</w:t>
      </w:r>
    </w:p>
    <w:p>
      <w:pPr>
        <w:spacing w:after="40"/>
        <w:ind w:left="360"/>
      </w:pPr>
      <w:r>
        <w:rPr>
          <w:b/>
          <w:bCs/>
          <w:sz w:val="20"/>
          <w:szCs w:val="20"/>
        </w:rPr>
        <w:t xml:space="preserve">B) </w:t>
      </w:r>
      <w:r>
        <w:rPr>
          <w:sz w:val="20"/>
          <w:szCs w:val="20"/>
        </w:rPr>
        <w:t xml:space="preserve">Incorrect — biopsy specifically excludes recurrence.</w:t>
      </w:r>
    </w:p>
    <w:p>
      <w:pPr>
        <w:spacing w:after="40"/>
        <w:ind w:left="360"/>
      </w:pPr>
      <w:r>
        <w:rPr>
          <w:b/>
          <w:bCs/>
          <w:sz w:val="20"/>
          <w:szCs w:val="20"/>
        </w:rPr>
        <w:t xml:space="preserve">C) </w:t>
      </w:r>
      <w:r>
        <w:rPr>
          <w:sz w:val="20"/>
          <w:szCs w:val="20"/>
        </w:rPr>
        <w:t xml:space="preserve">Incorrect — Ludwig's angina is an acute, rapidly progressive infective floor-of-mouth cellulitis, not a late post-radiation bone complication.</w:t>
      </w:r>
    </w:p>
    <w:p>
      <w:pPr>
        <w:spacing w:after="40"/>
        <w:ind w:left="360"/>
      </w:pPr>
      <w:r>
        <w:rPr>
          <w:b/>
          <w:bCs/>
          <w:sz w:val="20"/>
          <w:szCs w:val="20"/>
        </w:rPr>
        <w:t xml:space="preserve">D) </w:t>
      </w:r>
      <w:r>
        <w:rPr>
          <w:sz w:val="20"/>
          <w:szCs w:val="20"/>
        </w:rPr>
        <w:t xml:space="preserve">Incorrect — no mention of dental infection as the trigger; the temporal and dose relationship point to radiation.</w:t>
      </w:r>
    </w:p>
    <w:p>
      <w:pPr>
        <w:spacing w:after="40"/>
        <w:ind w:left="360"/>
      </w:pPr>
      <w:r>
        <w:rPr>
          <w:b/>
          <w:bCs/>
          <w:sz w:val="20"/>
          <w:szCs w:val="20"/>
        </w:rPr>
        <w:t xml:space="preserve">E) </w:t>
      </w:r>
      <w:r>
        <w:rPr>
          <w:sz w:val="20"/>
          <w:szCs w:val="20"/>
        </w:rPr>
        <w:t xml:space="preserve">Correct — osteoradionecrosis is a serious late complication of head and neck radiotherapy, with mandibular doses above about 70 Gy identified as a key risk factor for its development.</w:t>
      </w:r>
    </w:p>
    <w:p>
      <w:pPr>
        <w:spacing w:after="200"/>
      </w:pPr>
      <w:r>
        <w:rPr>
          <w:i/>
          <w:iCs/>
          <w:color w:val="595959"/>
          <w:sz w:val="16"/>
          <w:szCs w:val="16"/>
        </w:rPr>
        <w:t xml:space="preserve">Source: Osteoradionecrosis of the mandible: risk factors and dose-volume correlations — https://www.tandfonline.com/doi/full/10.1080/0284186X.2019.1643037</w:t>
      </w:r>
    </w:p>
    <w:p>
      <w:pPr>
        <w:spacing w:after="120" w:before="300"/>
      </w:pPr>
      <w:r>
        <w:rPr>
          <w:b/>
          <w:bCs/>
          <w:sz w:val="24"/>
          <w:szCs w:val="24"/>
        </w:rPr>
        <w:t xml:space="preserve">12. </w:t>
      </w:r>
      <w:r>
        <w:rPr>
          <w:sz w:val="24"/>
          <w:szCs w:val="24"/>
        </w:rPr>
        <w:t xml:space="preserve">A 55-year-old man with a long history of tobacco and betel quid use is successfully treated for a carcinoma of the buccal mucosa. Three years later, he develops a new, histologically distinct squamous cell carcinoma at a different site in the oral cavity, unrelated to the original tumor.</w:t>
      </w:r>
    </w:p>
    <w:p>
      <w:pPr>
        <w:spacing w:after="120"/>
      </w:pPr>
      <w:r>
        <w:rPr>
          <w:i/>
          <w:iCs/>
          <w:sz w:val="24"/>
          <w:szCs w:val="24"/>
        </w:rPr>
        <w:t xml:space="preserve">What concept, first described by Slaughter in 1953, best explains the development of this second tumor?</w:t>
      </w:r>
    </w:p>
    <w:p>
      <w:pPr>
        <w:spacing w:after="60"/>
        <w:ind w:left="360"/>
      </w:pPr>
      <w:r>
        <w:rPr>
          <w:b/>
          <w:bCs/>
          <w:sz w:val="22"/>
          <w:szCs w:val="22"/>
        </w:rPr>
        <w:t xml:space="preserve">A) </w:t>
      </w:r>
      <w:r>
        <w:rPr>
          <w:sz w:val="22"/>
          <w:szCs w:val="22"/>
        </w:rPr>
        <w:t xml:space="preserve">Field cancerization — widespread carcinogen-induced mucosal changes predisposing to multiple independent tumors</w:t>
      </w:r>
    </w:p>
    <w:p>
      <w:pPr>
        <w:spacing w:after="60"/>
        <w:ind w:left="360"/>
      </w:pPr>
      <w:r>
        <w:rPr>
          <w:b/>
          <w:bCs/>
          <w:sz w:val="22"/>
          <w:szCs w:val="22"/>
        </w:rPr>
        <w:t xml:space="preserve">B) </w:t>
      </w:r>
      <w:r>
        <w:rPr>
          <w:sz w:val="22"/>
          <w:szCs w:val="22"/>
        </w:rPr>
        <w:t xml:space="preserve">Immunosuppression from prior cancer treatment</w:t>
      </w:r>
    </w:p>
    <w:p>
      <w:pPr>
        <w:spacing w:after="60"/>
        <w:ind w:left="360"/>
      </w:pPr>
      <w:r>
        <w:rPr>
          <w:b/>
          <w:bCs/>
          <w:sz w:val="22"/>
          <w:szCs w:val="22"/>
        </w:rPr>
        <w:t xml:space="preserve">C) </w:t>
      </w:r>
      <w:r>
        <w:rPr>
          <w:sz w:val="22"/>
          <w:szCs w:val="22"/>
        </w:rPr>
        <w:t xml:space="preserve">Local recurrence along a lymphatic pathway</w:t>
      </w:r>
    </w:p>
    <w:p>
      <w:pPr>
        <w:spacing w:after="60"/>
        <w:ind w:left="360"/>
      </w:pPr>
      <w:r>
        <w:rPr>
          <w:b/>
          <w:bCs/>
          <w:sz w:val="22"/>
          <w:szCs w:val="22"/>
        </w:rPr>
        <w:t xml:space="preserve">D) </w:t>
      </w:r>
      <w:r>
        <w:rPr>
          <w:sz w:val="22"/>
          <w:szCs w:val="22"/>
        </w:rPr>
        <w:t xml:space="preserve">Metastatic spread from the original tumor via the bloodstream</w:t>
      </w:r>
    </w:p>
    <w:p>
      <w:pPr>
        <w:spacing w:after="60"/>
        <w:ind w:left="360"/>
      </w:pPr>
      <w:r>
        <w:rPr>
          <w:b/>
          <w:bCs/>
          <w:sz w:val="22"/>
          <w:szCs w:val="22"/>
        </w:rPr>
        <w:t xml:space="preserve">E) </w:t>
      </w:r>
      <w:r>
        <w:rPr>
          <w:sz w:val="22"/>
          <w:szCs w:val="22"/>
        </w:rPr>
        <w:t xml:space="preserve">Random coincidence unrelated to his habits</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Slaughter's field cancerization concept describes how long-term carcinogen exposure (tobacco, betel quid) affects large areas of the aerodigestive mucosa, predisposing to multiple, often genetically independent, primary tumors.</w:t>
      </w:r>
    </w:p>
    <w:p>
      <w:pPr>
        <w:spacing w:after="40"/>
        <w:ind w:left="360"/>
      </w:pPr>
      <w:r>
        <w:rPr>
          <w:b/>
          <w:bCs/>
          <w:sz w:val="20"/>
          <w:szCs w:val="20"/>
        </w:rPr>
        <w:t xml:space="preserve">B) </w:t>
      </w:r>
      <w:r>
        <w:rPr>
          <w:sz w:val="20"/>
          <w:szCs w:val="20"/>
        </w:rPr>
        <w:t xml:space="preserve">Incorrect — not primarily an immunosuppression phenomenon.</w:t>
      </w:r>
    </w:p>
    <w:p>
      <w:pPr>
        <w:spacing w:after="40"/>
        <w:ind w:left="360"/>
      </w:pPr>
      <w:r>
        <w:rPr>
          <w:b/>
          <w:bCs/>
          <w:sz w:val="20"/>
          <w:szCs w:val="20"/>
        </w:rPr>
        <w:t xml:space="preserve">C) </w:t>
      </w:r>
      <w:r>
        <w:rPr>
          <w:sz w:val="20"/>
          <w:szCs w:val="20"/>
        </w:rPr>
        <w:t xml:space="preserve">Incorrect — the new tumor is histologically distinct and at a different site, not a local recurrence.</w:t>
      </w:r>
    </w:p>
    <w:p>
      <w:pPr>
        <w:spacing w:after="40"/>
        <w:ind w:left="360"/>
      </w:pPr>
      <w:r>
        <w:rPr>
          <w:b/>
          <w:bCs/>
          <w:sz w:val="20"/>
          <w:szCs w:val="20"/>
        </w:rPr>
        <w:t xml:space="preserve">D) </w:t>
      </w:r>
      <w:r>
        <w:rPr>
          <w:sz w:val="20"/>
          <w:szCs w:val="20"/>
        </w:rPr>
        <w:t xml:space="preserve">Incorrect — this describes a second primary tumor, not metastasis, from the original site.</w:t>
      </w:r>
    </w:p>
    <w:p>
      <w:pPr>
        <w:spacing w:after="40"/>
        <w:ind w:left="360"/>
      </w:pPr>
      <w:r>
        <w:rPr>
          <w:b/>
          <w:bCs/>
          <w:sz w:val="20"/>
          <w:szCs w:val="20"/>
        </w:rPr>
        <w:t xml:space="preserve">E) </w:t>
      </w:r>
      <w:r>
        <w:rPr>
          <w:sz w:val="20"/>
          <w:szCs w:val="20"/>
        </w:rPr>
        <w:t xml:space="preserve">Incorrect — given his ongoing carcinogen exposure and the established concept of field cancerization, this is not coincidental.</w:t>
      </w:r>
    </w:p>
    <w:p>
      <w:pPr>
        <w:spacing w:after="200"/>
      </w:pPr>
      <w:r>
        <w:rPr>
          <w:i/>
          <w:iCs/>
          <w:color w:val="595959"/>
          <w:sz w:val="16"/>
          <w:szCs w:val="16"/>
        </w:rPr>
        <w:t xml:space="preserve">Source: AACR — A Genetic Explanation of Slaughter's Concept of Field Cancerization — https://aacrjournals.org/cancerres/article/63/8/1727/511142/</w:t>
      </w:r>
    </w:p>
    <w:p>
      <w:pPr>
        <w:spacing w:after="120" w:before="300"/>
      </w:pPr>
      <w:r>
        <w:rPr>
          <w:b/>
          <w:bCs/>
          <w:sz w:val="24"/>
          <w:szCs w:val="24"/>
        </w:rPr>
        <w:t xml:space="preserve">13. </w:t>
      </w:r>
      <w:r>
        <w:rPr>
          <w:sz w:val="24"/>
          <w:szCs w:val="24"/>
        </w:rPr>
        <w:t xml:space="preserve">Following segmental mandibulectomy for an advanced gingival carcinoma invading the mandibular body, a large composite defect involving both bone and soft tissue remains. The reconstructive team plans a vascularized bony free flap capable of restoring mandibular continuity and supporting future dental implants.</w:t>
      </w:r>
    </w:p>
    <w:p>
      <w:pPr>
        <w:spacing w:after="120"/>
      </w:pPr>
      <w:r>
        <w:rPr>
          <w:i/>
          <w:iCs/>
          <w:sz w:val="24"/>
          <w:szCs w:val="24"/>
        </w:rPr>
        <w:t xml:space="preserve">Which free flap is the preferred choice for this bony reconstruction?</w:t>
      </w:r>
    </w:p>
    <w:p>
      <w:pPr>
        <w:spacing w:after="60"/>
        <w:ind w:left="360"/>
      </w:pPr>
      <w:r>
        <w:rPr>
          <w:b/>
          <w:bCs/>
          <w:sz w:val="22"/>
          <w:szCs w:val="22"/>
        </w:rPr>
        <w:t xml:space="preserve">A) </w:t>
      </w:r>
      <w:r>
        <w:rPr>
          <w:sz w:val="22"/>
          <w:szCs w:val="22"/>
        </w:rPr>
        <w:t xml:space="preserve">Deep inferior epigastric perforator (DIEP) flap</w:t>
      </w:r>
    </w:p>
    <w:p>
      <w:pPr>
        <w:spacing w:after="60"/>
        <w:ind w:left="360"/>
      </w:pPr>
      <w:r>
        <w:rPr>
          <w:b/>
          <w:bCs/>
          <w:sz w:val="22"/>
          <w:szCs w:val="22"/>
        </w:rPr>
        <w:t xml:space="preserve">B) </w:t>
      </w:r>
      <w:r>
        <w:rPr>
          <w:sz w:val="22"/>
          <w:szCs w:val="22"/>
        </w:rPr>
        <w:t xml:space="preserve">Fibula free flap</w:t>
      </w:r>
    </w:p>
    <w:p>
      <w:pPr>
        <w:spacing w:after="60"/>
        <w:ind w:left="360"/>
      </w:pPr>
      <w:r>
        <w:rPr>
          <w:b/>
          <w:bCs/>
          <w:sz w:val="22"/>
          <w:szCs w:val="22"/>
        </w:rPr>
        <w:t xml:space="preserve">C) </w:t>
      </w:r>
      <w:r>
        <w:rPr>
          <w:sz w:val="22"/>
          <w:szCs w:val="22"/>
        </w:rPr>
        <w:t xml:space="preserve">Latissimus dorsi flap</w:t>
      </w:r>
    </w:p>
    <w:p>
      <w:pPr>
        <w:spacing w:after="60"/>
        <w:ind w:left="360"/>
      </w:pPr>
      <w:r>
        <w:rPr>
          <w:b/>
          <w:bCs/>
          <w:sz w:val="22"/>
          <w:szCs w:val="22"/>
        </w:rPr>
        <w:t xml:space="preserve">D) </w:t>
      </w:r>
      <w:r>
        <w:rPr>
          <w:sz w:val="22"/>
          <w:szCs w:val="22"/>
        </w:rPr>
        <w:t xml:space="preserve">Pectoralis major myocutaneous flap</w:t>
      </w:r>
    </w:p>
    <w:p>
      <w:pPr>
        <w:spacing w:after="60"/>
        <w:ind w:left="360"/>
      </w:pPr>
      <w:r>
        <w:rPr>
          <w:b/>
          <w:bCs/>
          <w:sz w:val="22"/>
          <w:szCs w:val="22"/>
        </w:rPr>
        <w:t xml:space="preserve">E) </w:t>
      </w:r>
      <w:r>
        <w:rPr>
          <w:sz w:val="22"/>
          <w:szCs w:val="22"/>
        </w:rPr>
        <w:t xml:space="preserve">Radial forearm free flap</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DIEP is used for breast reconstruction, not oromandibular defects.</w:t>
      </w:r>
    </w:p>
    <w:p>
      <w:pPr>
        <w:spacing w:after="40"/>
        <w:ind w:left="360"/>
      </w:pPr>
      <w:r>
        <w:rPr>
          <w:b/>
          <w:bCs/>
          <w:sz w:val="20"/>
          <w:szCs w:val="20"/>
        </w:rPr>
        <w:t xml:space="preserve">B) </w:t>
      </w:r>
      <w:r>
        <w:rPr>
          <w:sz w:val="20"/>
          <w:szCs w:val="20"/>
        </w:rPr>
        <w:t xml:space="preserve">Correct — the fibula free flap provides a long segment of strong vascularized bone, ideal for mandibular continuity defects and later dental implant placement.</w:t>
      </w:r>
    </w:p>
    <w:p>
      <w:pPr>
        <w:spacing w:after="40"/>
        <w:ind w:left="360"/>
      </w:pPr>
      <w:r>
        <w:rPr>
          <w:b/>
          <w:bCs/>
          <w:sz w:val="20"/>
          <w:szCs w:val="20"/>
        </w:rPr>
        <w:t xml:space="preserve">C) </w:t>
      </w:r>
      <w:r>
        <w:rPr>
          <w:sz w:val="20"/>
          <w:szCs w:val="20"/>
        </w:rPr>
        <w:t xml:space="preserve">Incorrect — latissimus dorsi is a soft-tissue/muscle flap, not suited for bony reconstruction.</w:t>
      </w:r>
    </w:p>
    <w:p>
      <w:pPr>
        <w:spacing w:after="40"/>
        <w:ind w:left="360"/>
      </w:pPr>
      <w:r>
        <w:rPr>
          <w:b/>
          <w:bCs/>
          <w:sz w:val="20"/>
          <w:szCs w:val="20"/>
        </w:rPr>
        <w:t xml:space="preserve">D) </w:t>
      </w:r>
      <w:r>
        <w:rPr>
          <w:sz w:val="20"/>
          <w:szCs w:val="20"/>
        </w:rPr>
        <w:t xml:space="preserve">Incorrect — pectoralis major is a regional pedicled soft-tissue flap, not a bone-containing free flap.</w:t>
      </w:r>
    </w:p>
    <w:p>
      <w:pPr>
        <w:spacing w:after="40"/>
        <w:ind w:left="360"/>
      </w:pPr>
      <w:r>
        <w:rPr>
          <w:b/>
          <w:bCs/>
          <w:sz w:val="20"/>
          <w:szCs w:val="20"/>
        </w:rPr>
        <w:t xml:space="preserve">E) </w:t>
      </w:r>
      <w:r>
        <w:rPr>
          <w:sz w:val="20"/>
          <w:szCs w:val="20"/>
        </w:rPr>
        <w:t xml:space="preserve">Incorrect — radial forearm flap is excellent for soft-tissue/mucosal lining but contains only a thin, limited bone stock, unsuitable as the primary choice for a large mandibular defect.</w:t>
      </w:r>
    </w:p>
    <w:p>
      <w:pPr>
        <w:spacing w:after="200"/>
      </w:pPr>
      <w:r>
        <w:rPr>
          <w:i/>
          <w:iCs/>
          <w:color w:val="595959"/>
          <w:sz w:val="16"/>
          <w:szCs w:val="16"/>
        </w:rPr>
        <w:t xml:space="preserve">Source: PMC — Reconstruction of Complex Oro-Mandibular Defects Using Free Fibula Flap — https://pmc.ncbi.nlm.nih.gov/articles/PMC10050262/</w:t>
      </w:r>
    </w:p>
    <w:p>
      <w:pPr>
        <w:spacing w:after="120" w:before="300"/>
      </w:pPr>
      <w:r>
        <w:rPr>
          <w:b/>
          <w:bCs/>
          <w:sz w:val="24"/>
          <w:szCs w:val="24"/>
        </w:rPr>
        <w:t xml:space="preserve">14. </w:t>
      </w:r>
      <w:r>
        <w:rPr>
          <w:sz w:val="24"/>
          <w:szCs w:val="24"/>
        </w:rPr>
        <w:t xml:space="preserve">A 50-year-old man presents with a 2 cm indurated ulcer with rolled edges on the floor of his mouth, persisting for eight weeks despite removal of a possible irritant. Malignancy is suspected, and the clinician plans a diagnostic procedure before definitive treatment planning.</w:t>
      </w:r>
    </w:p>
    <w:p>
      <w:pPr>
        <w:spacing w:after="120"/>
      </w:pPr>
      <w:r>
        <w:rPr>
          <w:i/>
          <w:iCs/>
          <w:sz w:val="24"/>
          <w:szCs w:val="24"/>
        </w:rPr>
        <w:t xml:space="preserve">What is the most appropriate next diagnostic step?</w:t>
      </w:r>
    </w:p>
    <w:p>
      <w:pPr>
        <w:spacing w:after="60"/>
        <w:ind w:left="360"/>
      </w:pPr>
      <w:r>
        <w:rPr>
          <w:b/>
          <w:bCs/>
          <w:sz w:val="22"/>
          <w:szCs w:val="22"/>
        </w:rPr>
        <w:t xml:space="preserve">A) </w:t>
      </w:r>
      <w:r>
        <w:rPr>
          <w:sz w:val="22"/>
          <w:szCs w:val="22"/>
        </w:rPr>
        <w:t xml:space="preserve">Empirical antibiotics with review in one month</w:t>
      </w:r>
    </w:p>
    <w:p>
      <w:pPr>
        <w:spacing w:after="60"/>
        <w:ind w:left="360"/>
      </w:pPr>
      <w:r>
        <w:rPr>
          <w:b/>
          <w:bCs/>
          <w:sz w:val="22"/>
          <w:szCs w:val="22"/>
        </w:rPr>
        <w:t xml:space="preserve">B) </w:t>
      </w:r>
      <w:r>
        <w:rPr>
          <w:sz w:val="22"/>
          <w:szCs w:val="22"/>
        </w:rPr>
        <w:t xml:space="preserve">Fine needle aspiration of the ulcer alone</w:t>
      </w:r>
    </w:p>
    <w:p>
      <w:pPr>
        <w:spacing w:after="60"/>
        <w:ind w:left="360"/>
      </w:pPr>
      <w:r>
        <w:rPr>
          <w:b/>
          <w:bCs/>
          <w:sz w:val="22"/>
          <w:szCs w:val="22"/>
        </w:rPr>
        <w:t xml:space="preserve">C) </w:t>
      </w:r>
      <w:r>
        <w:rPr>
          <w:sz w:val="22"/>
          <w:szCs w:val="22"/>
        </w:rPr>
        <w:t xml:space="preserve">Incisional biopsy of the lesion, including adjacent abnormal tissue</w:t>
      </w:r>
    </w:p>
    <w:p>
      <w:pPr>
        <w:spacing w:after="60"/>
        <w:ind w:left="360"/>
      </w:pPr>
      <w:r>
        <w:rPr>
          <w:b/>
          <w:bCs/>
          <w:sz w:val="22"/>
          <w:szCs w:val="22"/>
        </w:rPr>
        <w:t xml:space="preserve">D) </w:t>
      </w:r>
      <w:r>
        <w:rPr>
          <w:sz w:val="22"/>
          <w:szCs w:val="22"/>
        </w:rPr>
        <w:t xml:space="preserve">Reassurance, since traumatic ulcers are common and usually benign</w:t>
      </w:r>
    </w:p>
    <w:p>
      <w:pPr>
        <w:spacing w:after="60"/>
        <w:ind w:left="360"/>
      </w:pPr>
      <w:r>
        <w:rPr>
          <w:b/>
          <w:bCs/>
          <w:sz w:val="22"/>
          <w:szCs w:val="22"/>
        </w:rPr>
        <w:t xml:space="preserve">E) </w:t>
      </w:r>
      <w:r>
        <w:rPr>
          <w:sz w:val="22"/>
          <w:szCs w:val="22"/>
        </w:rPr>
        <w:t xml:space="preserve">Wide excision as the first diagnostic step</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a persistent suspicious ulcer needs tissue diagnosis, not empirical treatment and delay.</w:t>
      </w:r>
    </w:p>
    <w:p>
      <w:pPr>
        <w:spacing w:after="40"/>
        <w:ind w:left="360"/>
      </w:pPr>
      <w:r>
        <w:rPr>
          <w:b/>
          <w:bCs/>
          <w:sz w:val="20"/>
          <w:szCs w:val="20"/>
        </w:rPr>
        <w:t xml:space="preserve">B) </w:t>
      </w:r>
      <w:r>
        <w:rPr>
          <w:sz w:val="20"/>
          <w:szCs w:val="20"/>
        </w:rPr>
        <w:t xml:space="preserve">Incorrect — FNA is more useful for masses/nodes than surface mucosal ulcers, and doesn't provide the architectural detail needed here.</w:t>
      </w:r>
    </w:p>
    <w:p>
      <w:pPr>
        <w:spacing w:after="40"/>
        <w:ind w:left="360"/>
      </w:pPr>
      <w:r>
        <w:rPr>
          <w:b/>
          <w:bCs/>
          <w:sz w:val="20"/>
          <w:szCs w:val="20"/>
        </w:rPr>
        <w:t xml:space="preserve">C) </w:t>
      </w:r>
      <w:r>
        <w:rPr>
          <w:sz w:val="20"/>
          <w:szCs w:val="20"/>
        </w:rPr>
        <w:t xml:space="preserve">Correct — incisional biopsy, including a margin of abnormal tissue, is the gold-standard diagnostic step for a suspicious oral lesion, providing histopathological confirmation with high (&gt;98%) diagnostic accuracy before planning definitive treatment.</w:t>
      </w:r>
    </w:p>
    <w:p>
      <w:pPr>
        <w:spacing w:after="40"/>
        <w:ind w:left="360"/>
      </w:pPr>
      <w:r>
        <w:rPr>
          <w:b/>
          <w:bCs/>
          <w:sz w:val="20"/>
          <w:szCs w:val="20"/>
        </w:rPr>
        <w:t xml:space="preserve">D) </w:t>
      </w:r>
      <w:r>
        <w:rPr>
          <w:sz w:val="20"/>
          <w:szCs w:val="20"/>
        </w:rPr>
        <w:t xml:space="preserve">Incorrect — persistence beyond expected healing time and high-risk features (induration, rolled edges) mandate biopsy, not reassurance.</w:t>
      </w:r>
    </w:p>
    <w:p>
      <w:pPr>
        <w:spacing w:after="40"/>
        <w:ind w:left="360"/>
      </w:pPr>
      <w:r>
        <w:rPr>
          <w:b/>
          <w:bCs/>
          <w:sz w:val="20"/>
          <w:szCs w:val="20"/>
        </w:rPr>
        <w:t xml:space="preserve">E) </w:t>
      </w:r>
      <w:r>
        <w:rPr>
          <w:sz w:val="20"/>
          <w:szCs w:val="20"/>
        </w:rPr>
        <w:t xml:space="preserve">Incorrect — wide excision without a confirmed diagnosis risks inappropriate margins and treatment planning; biopsy should precede definitive surgery.</w:t>
      </w:r>
    </w:p>
    <w:p>
      <w:pPr>
        <w:spacing w:after="200"/>
      </w:pPr>
      <w:r>
        <w:rPr>
          <w:i/>
          <w:iCs/>
          <w:color w:val="595959"/>
          <w:sz w:val="16"/>
          <w:szCs w:val="16"/>
        </w:rPr>
        <w:t xml:space="preserve">Source: StatPearls — Oral Surgery, Biopsies — https://www.ncbi.nlm.nih.gov/books/NBK594246/</w:t>
      </w:r>
    </w:p>
    <w:p>
      <w:pPr>
        <w:spacing w:after="120" w:before="300"/>
      </w:pPr>
      <w:r>
        <w:rPr>
          <w:b/>
          <w:bCs/>
          <w:sz w:val="24"/>
          <w:szCs w:val="24"/>
        </w:rPr>
        <w:t xml:space="preserve">15. </w:t>
      </w:r>
      <w:r>
        <w:rPr>
          <w:sz w:val="24"/>
          <w:szCs w:val="24"/>
        </w:rPr>
        <w:t xml:space="preserve">A patient with a T2 carcinoma of the oral tongue undergoes elective neck dissection of levels I-III for a clinically N0 neck. Final histopathology shows no metastatic disease in any of the levels dissected. The surgical team discusses whether level IV should also have been included.</w:t>
      </w:r>
    </w:p>
    <w:p>
      <w:pPr>
        <w:spacing w:after="120"/>
      </w:pPr>
      <w:r>
        <w:rPr>
          <w:i/>
          <w:iCs/>
          <w:sz w:val="24"/>
          <w:szCs w:val="24"/>
        </w:rPr>
        <w:t xml:space="preserve">Based on current evidence regarding skip metastasis patterns in oral tongue cancer, which statement is most accurate?</w:t>
      </w:r>
    </w:p>
    <w:p>
      <w:pPr>
        <w:spacing w:after="60"/>
        <w:ind w:left="360"/>
      </w:pPr>
      <w:r>
        <w:rPr>
          <w:b/>
          <w:bCs/>
          <w:sz w:val="22"/>
          <w:szCs w:val="22"/>
        </w:rPr>
        <w:t xml:space="preserve">A) </w:t>
      </w:r>
      <w:r>
        <w:rPr>
          <w:sz w:val="22"/>
          <w:szCs w:val="22"/>
        </w:rPr>
        <w:t xml:space="preserve">Elective dissection of levels I-III alone is adequate for the clinically N0 neck, as isolated skip metastasis to level IV without involvement of levels I-III is rare</w:t>
      </w:r>
    </w:p>
    <w:p>
      <w:pPr>
        <w:spacing w:after="60"/>
        <w:ind w:left="360"/>
      </w:pPr>
      <w:r>
        <w:rPr>
          <w:b/>
          <w:bCs/>
          <w:sz w:val="22"/>
          <w:szCs w:val="22"/>
        </w:rPr>
        <w:t xml:space="preserve">B) </w:t>
      </w:r>
      <w:r>
        <w:rPr>
          <w:sz w:val="22"/>
          <w:szCs w:val="22"/>
        </w:rPr>
        <w:t xml:space="preserve">Isolated skip metastasis to level IV occurs in over 50% of tongue cancers, so level IV must always be included</w:t>
      </w:r>
    </w:p>
    <w:p>
      <w:pPr>
        <w:spacing w:after="60"/>
        <w:ind w:left="360"/>
      </w:pPr>
      <w:r>
        <w:rPr>
          <w:b/>
          <w:bCs/>
          <w:sz w:val="22"/>
          <w:szCs w:val="22"/>
        </w:rPr>
        <w:t xml:space="preserve">C) </w:t>
      </w:r>
      <w:r>
        <w:rPr>
          <w:sz w:val="22"/>
          <w:szCs w:val="22"/>
        </w:rPr>
        <w:t xml:space="preserve">Level IV involvement always occurs before levels I-III in tongue cancer</w:t>
      </w:r>
    </w:p>
    <w:p>
      <w:pPr>
        <w:spacing w:after="60"/>
        <w:ind w:left="360"/>
      </w:pPr>
      <w:r>
        <w:rPr>
          <w:b/>
          <w:bCs/>
          <w:sz w:val="22"/>
          <w:szCs w:val="22"/>
        </w:rPr>
        <w:t xml:space="preserve">D) </w:t>
      </w:r>
      <w:r>
        <w:rPr>
          <w:sz w:val="22"/>
          <w:szCs w:val="22"/>
        </w:rPr>
        <w:t xml:space="preserve">Skip metastasis never occurs in oral tongue cancer</w:t>
      </w:r>
    </w:p>
    <w:p>
      <w:pPr>
        <w:spacing w:after="60"/>
        <w:ind w:left="360"/>
      </w:pPr>
      <w:r>
        <w:rPr>
          <w:b/>
          <w:bCs/>
          <w:sz w:val="22"/>
          <w:szCs w:val="22"/>
        </w:rPr>
        <w:t xml:space="preserve">E) </w:t>
      </w:r>
      <w:r>
        <w:rPr>
          <w:sz w:val="22"/>
          <w:szCs w:val="22"/>
        </w:rPr>
        <w:t xml:space="preserve">Tongue cancer never metastasizes beyond level I</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large prospective studies show no increased risk of isolated skip metastasis to level IV in the absence of involvement in levels I-III; clearance of levels I-III is considered an adequate elective neck dissection for the cN0 neck.</w:t>
      </w:r>
    </w:p>
    <w:p>
      <w:pPr>
        <w:spacing w:after="40"/>
        <w:ind w:left="360"/>
      </w:pPr>
      <w:r>
        <w:rPr>
          <w:b/>
          <w:bCs/>
          <w:sz w:val="20"/>
          <w:szCs w:val="20"/>
        </w:rPr>
        <w:t xml:space="preserve">B) </w:t>
      </w:r>
      <w:r>
        <w:rPr>
          <w:sz w:val="20"/>
          <w:szCs w:val="20"/>
        </w:rPr>
        <w:t xml:space="preserve">Incorrect — true isolated skip metastasis to level IV is rare (around 2% or less), not over 50%.</w:t>
      </w:r>
    </w:p>
    <w:p>
      <w:pPr>
        <w:spacing w:after="40"/>
        <w:ind w:left="360"/>
      </w:pPr>
      <w:r>
        <w:rPr>
          <w:b/>
          <w:bCs/>
          <w:sz w:val="20"/>
          <w:szCs w:val="20"/>
        </w:rPr>
        <w:t xml:space="preserve">C) </w:t>
      </w:r>
      <w:r>
        <w:rPr>
          <w:sz w:val="20"/>
          <w:szCs w:val="20"/>
        </w:rPr>
        <w:t xml:space="preserve">Incorrect — the reverse is generally true; levels I-III are typically involved before or together with level IV.</w:t>
      </w:r>
    </w:p>
    <w:p>
      <w:pPr>
        <w:spacing w:after="40"/>
        <w:ind w:left="360"/>
      </w:pPr>
      <w:r>
        <w:rPr>
          <w:b/>
          <w:bCs/>
          <w:sz w:val="20"/>
          <w:szCs w:val="20"/>
        </w:rPr>
        <w:t xml:space="preserve">D) </w:t>
      </w:r>
      <w:r>
        <w:rPr>
          <w:sz w:val="20"/>
          <w:szCs w:val="20"/>
        </w:rPr>
        <w:t xml:space="preserve">Incorrect — skip metastasis does occur, just uncommonly.</w:t>
      </w:r>
    </w:p>
    <w:p>
      <w:pPr>
        <w:spacing w:after="40"/>
        <w:ind w:left="360"/>
      </w:pPr>
      <w:r>
        <w:rPr>
          <w:b/>
          <w:bCs/>
          <w:sz w:val="20"/>
          <w:szCs w:val="20"/>
        </w:rPr>
        <w:t xml:space="preserve">E) </w:t>
      </w:r>
      <w:r>
        <w:rPr>
          <w:sz w:val="20"/>
          <w:szCs w:val="20"/>
        </w:rPr>
        <w:t xml:space="preserve">Incorrect — tongue cancer commonly metastasizes to level II as well as level I and III.</w:t>
      </w:r>
    </w:p>
    <w:p>
      <w:pPr>
        <w:spacing w:after="200"/>
      </w:pPr>
      <w:r>
        <w:rPr>
          <w:i/>
          <w:iCs/>
          <w:color w:val="595959"/>
          <w:sz w:val="16"/>
          <w:szCs w:val="16"/>
        </w:rPr>
        <w:t xml:space="preserve">Source: Radiotherapy and Oncology — Patterns of lymph node involvement for oral cavity SCC — https://www.thegreenjournal.com/article/S0167-8140(24)00744-8/fulltext</w:t>
      </w:r>
    </w:p>
    <w:p>
      <w:pPr>
        <w:spacing w:after="120" w:before="300"/>
      </w:pPr>
      <w:r>
        <w:rPr>
          <w:b/>
          <w:bCs/>
          <w:sz w:val="24"/>
          <w:szCs w:val="24"/>
        </w:rPr>
        <w:t xml:space="preserve">16. </w:t>
      </w:r>
      <w:r>
        <w:rPr>
          <w:sz w:val="24"/>
          <w:szCs w:val="24"/>
        </w:rPr>
        <w:t xml:space="preserve">A 52-year-old non-smoker presents with a base-of-tongue mass. Biopsy confirms squamous cell carcinoma, and p16 immunohistochemistry is strongly positive, consistent with HPV-driven disease. His oncologist explains that his cancer will be staged using a different system than a comparable HPV-negative oral cavity cancer.</w:t>
      </w:r>
    </w:p>
    <w:p>
      <w:pPr>
        <w:spacing w:after="120"/>
      </w:pPr>
      <w:r>
        <w:rPr>
          <w:i/>
          <w:iCs/>
          <w:sz w:val="24"/>
          <w:szCs w:val="24"/>
        </w:rPr>
        <w:t xml:space="preserve">Which of the following best describes the significance of HPV/p16 status in this scenario?</w:t>
      </w:r>
    </w:p>
    <w:p>
      <w:pPr>
        <w:spacing w:after="60"/>
        <w:ind w:left="360"/>
      </w:pPr>
      <w:r>
        <w:rPr>
          <w:b/>
          <w:bCs/>
          <w:sz w:val="22"/>
          <w:szCs w:val="22"/>
        </w:rPr>
        <w:t xml:space="preserve">A) </w:t>
      </w:r>
      <w:r>
        <w:rPr>
          <w:sz w:val="22"/>
          <w:szCs w:val="22"/>
        </w:rPr>
        <w:t xml:space="preserve">HPV-positive oropharyngeal cancer has a separate AJCC staging system and better prognosis than HPV-negative disease</w:t>
      </w:r>
    </w:p>
    <w:p>
      <w:pPr>
        <w:spacing w:after="60"/>
        <w:ind w:left="360"/>
      </w:pPr>
      <w:r>
        <w:rPr>
          <w:b/>
          <w:bCs/>
          <w:sz w:val="22"/>
          <w:szCs w:val="22"/>
        </w:rPr>
        <w:t xml:space="preserve">B) </w:t>
      </w:r>
      <w:r>
        <w:rPr>
          <w:sz w:val="22"/>
          <w:szCs w:val="22"/>
        </w:rPr>
        <w:t xml:space="preserve">HPV-positive status is only relevant to oral cavity cancer, not oropharyngeal cancer</w:t>
      </w:r>
    </w:p>
    <w:p>
      <w:pPr>
        <w:spacing w:after="60"/>
        <w:ind w:left="360"/>
      </w:pPr>
      <w:r>
        <w:rPr>
          <w:b/>
          <w:bCs/>
          <w:sz w:val="22"/>
          <w:szCs w:val="22"/>
        </w:rPr>
        <w:t xml:space="preserve">C) </w:t>
      </w:r>
      <w:r>
        <w:rPr>
          <w:sz w:val="22"/>
          <w:szCs w:val="22"/>
        </w:rPr>
        <w:t xml:space="preserve">HPV-positive tumors are staged identically to HPV-negative tumors, since p16 has no prognostic value</w:t>
      </w:r>
    </w:p>
    <w:p>
      <w:pPr>
        <w:spacing w:after="60"/>
        <w:ind w:left="360"/>
      </w:pPr>
      <w:r>
        <w:rPr>
          <w:b/>
          <w:bCs/>
          <w:sz w:val="22"/>
          <w:szCs w:val="22"/>
        </w:rPr>
        <w:t xml:space="preserve">D) </w:t>
      </w:r>
      <w:r>
        <w:rPr>
          <w:sz w:val="22"/>
          <w:szCs w:val="22"/>
        </w:rPr>
        <w:t xml:space="preserve">HPV status has no bearing on staging or prognosis in head and neck cancer</w:t>
      </w:r>
    </w:p>
    <w:p>
      <w:pPr>
        <w:spacing w:after="60"/>
        <w:ind w:left="360"/>
      </w:pPr>
      <w:r>
        <w:rPr>
          <w:b/>
          <w:bCs/>
          <w:sz w:val="22"/>
          <w:szCs w:val="22"/>
        </w:rPr>
        <w:t xml:space="preserve">E) </w:t>
      </w:r>
      <w:r>
        <w:rPr>
          <w:sz w:val="22"/>
          <w:szCs w:val="22"/>
        </w:rPr>
        <w:t xml:space="preserve">p16 positivity indicates a worse prognosis than p16-negative disease</w:t>
      </w:r>
    </w:p>
    <w:p>
      <w:pPr>
        <w:spacing w:after="80" w:before="120"/>
      </w:pPr>
      <w:r>
        <w:rPr>
          <w:b/>
          <w:bCs/>
          <w:color w:val="006100"/>
          <w:sz w:val="24"/>
          <w:szCs w:val="24"/>
        </w:rPr>
        <w:t xml:space="preserve">Answer: A</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Correct — HPV/p16-positive oropharyngeal cancer is staged using a distinct AJCC 8th edition staging system, and carries a significantly better prognosis (5-year survival ~94% vs ~62% for p16-negative disease).</w:t>
      </w:r>
    </w:p>
    <w:p>
      <w:pPr>
        <w:spacing w:after="40"/>
        <w:ind w:left="360"/>
      </w:pPr>
      <w:r>
        <w:rPr>
          <w:b/>
          <w:bCs/>
          <w:sz w:val="20"/>
          <w:szCs w:val="20"/>
        </w:rPr>
        <w:t xml:space="preserve">B) </w:t>
      </w:r>
      <w:r>
        <w:rPr>
          <w:sz w:val="20"/>
          <w:szCs w:val="20"/>
        </w:rPr>
        <w:t xml:space="preserve">Incorrect — HPV/p16 positivity is characteristically an oropharyngeal (not oral cavity) phenomenon; oral cavity SCC is only rarely p16-positive.</w:t>
      </w:r>
    </w:p>
    <w:p>
      <w:pPr>
        <w:spacing w:after="40"/>
        <w:ind w:left="360"/>
      </w:pPr>
      <w:r>
        <w:rPr>
          <w:b/>
          <w:bCs/>
          <w:sz w:val="20"/>
          <w:szCs w:val="20"/>
        </w:rPr>
        <w:t xml:space="preserve">C) </w:t>
      </w:r>
      <w:r>
        <w:rPr>
          <w:sz w:val="20"/>
          <w:szCs w:val="20"/>
        </w:rPr>
        <w:t xml:space="preserve">Incorrect — p16 status has major prognostic and staging significance.</w:t>
      </w:r>
    </w:p>
    <w:p>
      <w:pPr>
        <w:spacing w:after="40"/>
        <w:ind w:left="360"/>
      </w:pPr>
      <w:r>
        <w:rPr>
          <w:b/>
          <w:bCs/>
          <w:sz w:val="20"/>
          <w:szCs w:val="20"/>
        </w:rPr>
        <w:t xml:space="preserve">D) </w:t>
      </w:r>
      <w:r>
        <w:rPr>
          <w:sz w:val="20"/>
          <w:szCs w:val="20"/>
        </w:rPr>
        <w:t xml:space="preserve">Incorrect — HPV status significantly affects both staging system and prognosis.</w:t>
      </w:r>
    </w:p>
    <w:p>
      <w:pPr>
        <w:spacing w:after="40"/>
        <w:ind w:left="360"/>
      </w:pPr>
      <w:r>
        <w:rPr>
          <w:b/>
          <w:bCs/>
          <w:sz w:val="20"/>
          <w:szCs w:val="20"/>
        </w:rPr>
        <w:t xml:space="preserve">E) </w:t>
      </w:r>
      <w:r>
        <w:rPr>
          <w:sz w:val="20"/>
          <w:szCs w:val="20"/>
        </w:rPr>
        <w:t xml:space="preserve">Incorrect — p16 positivity is associated with a better, not worse, prognosis.</w:t>
      </w:r>
    </w:p>
    <w:p>
      <w:pPr>
        <w:spacing w:after="200"/>
      </w:pPr>
      <w:r>
        <w:rPr>
          <w:i/>
          <w:iCs/>
          <w:color w:val="595959"/>
          <w:sz w:val="16"/>
          <w:szCs w:val="16"/>
        </w:rPr>
        <w:t xml:space="preserve">Source: Lancet Oncology — Prognostic implications of p16 and HPV in oropharyngeal cancer — https://www.thelancet.com/journals/lanonc/article/PIIS1470-2045(23)00013-X/fulltext</w:t>
      </w:r>
    </w:p>
    <w:p>
      <w:pPr>
        <w:spacing w:after="120" w:before="300"/>
      </w:pPr>
      <w:r>
        <w:rPr>
          <w:b/>
          <w:bCs/>
          <w:sz w:val="24"/>
          <w:szCs w:val="24"/>
        </w:rPr>
        <w:t xml:space="preserve">17. </w:t>
      </w:r>
      <w:r>
        <w:rPr>
          <w:sz w:val="24"/>
          <w:szCs w:val="24"/>
        </w:rPr>
        <w:t xml:space="preserve">A 30-year-old man with a 10-year history of daily gutkha chewing presents with progressive difficulty opening his mouth, a burning sensation with spicy food, and palpable fibrous bands in both cheeks. His mouth opening is now restricted to two finger-breadths.</w:t>
      </w:r>
    </w:p>
    <w:p>
      <w:pPr>
        <w:spacing w:after="120"/>
      </w:pPr>
      <w:r>
        <w:rPr>
          <w:i/>
          <w:iCs/>
          <w:sz w:val="24"/>
          <w:szCs w:val="24"/>
        </w:rPr>
        <w:t xml:space="preserve">What is the diagnosis, and what long-term risk should he be counseled about?</w:t>
      </w:r>
    </w:p>
    <w:p>
      <w:pPr>
        <w:spacing w:after="60"/>
        <w:ind w:left="360"/>
      </w:pPr>
      <w:r>
        <w:rPr>
          <w:b/>
          <w:bCs/>
          <w:sz w:val="22"/>
          <w:szCs w:val="22"/>
        </w:rPr>
        <w:t xml:space="preserve">A) </w:t>
      </w:r>
      <w:r>
        <w:rPr>
          <w:sz w:val="22"/>
          <w:szCs w:val="22"/>
        </w:rPr>
        <w:t xml:space="preserve">Ludwig's angina; risk of airway obstruction</w:t>
      </w:r>
    </w:p>
    <w:p>
      <w:pPr>
        <w:spacing w:after="60"/>
        <w:ind w:left="360"/>
      </w:pPr>
      <w:r>
        <w:rPr>
          <w:b/>
          <w:bCs/>
          <w:sz w:val="22"/>
          <w:szCs w:val="22"/>
        </w:rPr>
        <w:t xml:space="preserve">B) </w:t>
      </w:r>
      <w:r>
        <w:rPr>
          <w:sz w:val="22"/>
          <w:szCs w:val="22"/>
        </w:rPr>
        <w:t xml:space="preserve">Oral lichen planus; no significant malignant potential</w:t>
      </w:r>
    </w:p>
    <w:p>
      <w:pPr>
        <w:spacing w:after="60"/>
        <w:ind w:left="360"/>
      </w:pPr>
      <w:r>
        <w:rPr>
          <w:b/>
          <w:bCs/>
          <w:sz w:val="22"/>
          <w:szCs w:val="22"/>
        </w:rPr>
        <w:t xml:space="preserve">C) </w:t>
      </w:r>
      <w:r>
        <w:rPr>
          <w:sz w:val="22"/>
          <w:szCs w:val="22"/>
        </w:rPr>
        <w:t xml:space="preserve">Oral submucous fibrosis; markedly increased risk of malignant transformation to oral SCC</w:t>
      </w:r>
    </w:p>
    <w:p>
      <w:pPr>
        <w:spacing w:after="60"/>
        <w:ind w:left="360"/>
      </w:pPr>
      <w:r>
        <w:rPr>
          <w:b/>
          <w:bCs/>
          <w:sz w:val="22"/>
          <w:szCs w:val="22"/>
        </w:rPr>
        <w:t xml:space="preserve">D) </w:t>
      </w:r>
      <w:r>
        <w:rPr>
          <w:sz w:val="22"/>
          <w:szCs w:val="22"/>
        </w:rPr>
        <w:t xml:space="preserve">Sialadenitis; risk of gland abscess</w:t>
      </w:r>
    </w:p>
    <w:p>
      <w:pPr>
        <w:spacing w:after="60"/>
        <w:ind w:left="360"/>
      </w:pPr>
      <w:r>
        <w:rPr>
          <w:b/>
          <w:bCs/>
          <w:sz w:val="22"/>
          <w:szCs w:val="22"/>
        </w:rPr>
        <w:t xml:space="preserve">E) </w:t>
      </w:r>
      <w:r>
        <w:rPr>
          <w:sz w:val="22"/>
          <w:szCs w:val="22"/>
        </w:rPr>
        <w:t xml:space="preserve">Temporomandibular joint dislocation; risk of recurrent dislocation</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Ludwig's angina is an acute infective process, not a chronic fibrosing condition from areca nut use.</w:t>
      </w:r>
    </w:p>
    <w:p>
      <w:pPr>
        <w:spacing w:after="40"/>
        <w:ind w:left="360"/>
      </w:pPr>
      <w:r>
        <w:rPr>
          <w:b/>
          <w:bCs/>
          <w:sz w:val="20"/>
          <w:szCs w:val="20"/>
        </w:rPr>
        <w:t xml:space="preserve">B) </w:t>
      </w:r>
      <w:r>
        <w:rPr>
          <w:sz w:val="20"/>
          <w:szCs w:val="20"/>
        </w:rPr>
        <w:t xml:space="preserve">Incorrect — lichen planus can have some malignant potential but doesn't classically present with progressive fibrous banding and trismus from areca nut/gutkha use.</w:t>
      </w:r>
    </w:p>
    <w:p>
      <w:pPr>
        <w:spacing w:after="40"/>
        <w:ind w:left="360"/>
      </w:pPr>
      <w:r>
        <w:rPr>
          <w:b/>
          <w:bCs/>
          <w:sz w:val="20"/>
          <w:szCs w:val="20"/>
        </w:rPr>
        <w:t xml:space="preserve">C) </w:t>
      </w:r>
      <w:r>
        <w:rPr>
          <w:sz w:val="20"/>
          <w:szCs w:val="20"/>
        </w:rPr>
        <w:t xml:space="preserve">Correct — progressive trismus, burning sensation, and palpable fibrous bands in a habitual areca nut/gutkha chewer are classic for oral submucous fibrosis (OSMF), which carries a substantially increased risk (reported up to ~29-fold) of malignant transformation to oral squamous cell carcinoma.</w:t>
      </w:r>
    </w:p>
    <w:p>
      <w:pPr>
        <w:spacing w:after="40"/>
        <w:ind w:left="360"/>
      </w:pPr>
      <w:r>
        <w:rPr>
          <w:b/>
          <w:bCs/>
          <w:sz w:val="20"/>
          <w:szCs w:val="20"/>
        </w:rPr>
        <w:t xml:space="preserve">D) </w:t>
      </w:r>
      <w:r>
        <w:rPr>
          <w:sz w:val="20"/>
          <w:szCs w:val="20"/>
        </w:rPr>
        <w:t xml:space="preserve">Incorrect — sialadenitis doesn't produce fibrous banding or progressive trismus of this type.</w:t>
      </w:r>
    </w:p>
    <w:p>
      <w:pPr>
        <w:spacing w:after="40"/>
        <w:ind w:left="360"/>
      </w:pPr>
      <w:r>
        <w:rPr>
          <w:b/>
          <w:bCs/>
          <w:sz w:val="20"/>
          <w:szCs w:val="20"/>
        </w:rPr>
        <w:t xml:space="preserve">E) </w:t>
      </w:r>
      <w:r>
        <w:rPr>
          <w:sz w:val="20"/>
          <w:szCs w:val="20"/>
        </w:rPr>
        <w:t xml:space="preserve">Incorrect — TMJ dislocation is an acute mechanical event, not related to this chronic fibrosing presentation.</w:t>
      </w:r>
    </w:p>
    <w:p>
      <w:pPr>
        <w:spacing w:after="200"/>
      </w:pPr>
      <w:r>
        <w:rPr>
          <w:i/>
          <w:iCs/>
          <w:color w:val="595959"/>
          <w:sz w:val="16"/>
          <w:szCs w:val="16"/>
        </w:rPr>
        <w:t xml:space="preserve">Source: PMC — Prevalence of OSMF among gutkha/areca nut chewers — https://pmc.ncbi.nlm.nih.gov/articles/PMC4252639/</w:t>
      </w:r>
    </w:p>
    <w:p>
      <w:pPr>
        <w:spacing w:after="120" w:before="300"/>
      </w:pPr>
      <w:r>
        <w:rPr>
          <w:b/>
          <w:bCs/>
          <w:sz w:val="24"/>
          <w:szCs w:val="24"/>
        </w:rPr>
        <w:t xml:space="preserve">18. </w:t>
      </w:r>
      <w:r>
        <w:rPr>
          <w:sz w:val="24"/>
          <w:szCs w:val="24"/>
        </w:rPr>
        <w:t xml:space="preserve">During neck dissection for oral cancer, the surgeon removes lymphatic tissue bounded superiorly by the hyoid bone level, inferiorly by the cricoid cartilage level, anteriorly by the lateral border of the sternohyoid muscle, and posteriorly by the posterior border of the sternocleidomastoid muscle.</w:t>
      </w:r>
    </w:p>
    <w:p>
      <w:pPr>
        <w:spacing w:after="120"/>
      </w:pPr>
      <w:r>
        <w:rPr>
          <w:i/>
          <w:iCs/>
          <w:sz w:val="24"/>
          <w:szCs w:val="24"/>
        </w:rPr>
        <w:t xml:space="preserve">Which cervical lymph node level does this description correspond to?</w:t>
      </w:r>
    </w:p>
    <w:p>
      <w:pPr>
        <w:spacing w:after="60"/>
        <w:ind w:left="360"/>
      </w:pPr>
      <w:r>
        <w:rPr>
          <w:b/>
          <w:bCs/>
          <w:sz w:val="22"/>
          <w:szCs w:val="22"/>
        </w:rPr>
        <w:t xml:space="preserve">A) </w:t>
      </w:r>
      <w:r>
        <w:rPr>
          <w:sz w:val="22"/>
          <w:szCs w:val="22"/>
        </w:rPr>
        <w:t xml:space="preserve">Level I</w:t>
      </w:r>
    </w:p>
    <w:p>
      <w:pPr>
        <w:spacing w:after="60"/>
        <w:ind w:left="360"/>
      </w:pPr>
      <w:r>
        <w:rPr>
          <w:b/>
          <w:bCs/>
          <w:sz w:val="22"/>
          <w:szCs w:val="22"/>
        </w:rPr>
        <w:t xml:space="preserve">B) </w:t>
      </w:r>
      <w:r>
        <w:rPr>
          <w:sz w:val="22"/>
          <w:szCs w:val="22"/>
        </w:rPr>
        <w:t xml:space="preserve">Level II</w:t>
      </w:r>
    </w:p>
    <w:p>
      <w:pPr>
        <w:spacing w:after="60"/>
        <w:ind w:left="360"/>
      </w:pPr>
      <w:r>
        <w:rPr>
          <w:b/>
          <w:bCs/>
          <w:sz w:val="22"/>
          <w:szCs w:val="22"/>
        </w:rPr>
        <w:t xml:space="preserve">C) </w:t>
      </w:r>
      <w:r>
        <w:rPr>
          <w:sz w:val="22"/>
          <w:szCs w:val="22"/>
        </w:rPr>
        <w:t xml:space="preserve">Level III</w:t>
      </w:r>
    </w:p>
    <w:p>
      <w:pPr>
        <w:spacing w:after="60"/>
        <w:ind w:left="360"/>
      </w:pPr>
      <w:r>
        <w:rPr>
          <w:b/>
          <w:bCs/>
          <w:sz w:val="22"/>
          <w:szCs w:val="22"/>
        </w:rPr>
        <w:t xml:space="preserve">D) </w:t>
      </w:r>
      <w:r>
        <w:rPr>
          <w:sz w:val="22"/>
          <w:szCs w:val="22"/>
        </w:rPr>
        <w:t xml:space="preserve">Level IV</w:t>
      </w:r>
    </w:p>
    <w:p>
      <w:pPr>
        <w:spacing w:after="60"/>
        <w:ind w:left="360"/>
      </w:pPr>
      <w:r>
        <w:rPr>
          <w:b/>
          <w:bCs/>
          <w:sz w:val="22"/>
          <w:szCs w:val="22"/>
        </w:rPr>
        <w:t xml:space="preserve">E) </w:t>
      </w:r>
      <w:r>
        <w:rPr>
          <w:sz w:val="22"/>
          <w:szCs w:val="22"/>
        </w:rPr>
        <w:t xml:space="preserve">Level V</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level I (submental/submandibular) is bounded by the digastric muscles and mandible, not the hyoid-to-cricoid region.</w:t>
      </w:r>
    </w:p>
    <w:p>
      <w:pPr>
        <w:spacing w:after="40"/>
        <w:ind w:left="360"/>
      </w:pPr>
      <w:r>
        <w:rPr>
          <w:b/>
          <w:bCs/>
          <w:sz w:val="20"/>
          <w:szCs w:val="20"/>
        </w:rPr>
        <w:t xml:space="preserve">B) </w:t>
      </w:r>
      <w:r>
        <w:rPr>
          <w:sz w:val="20"/>
          <w:szCs w:val="20"/>
        </w:rPr>
        <w:t xml:space="preserve">Incorrect — level II (upper jugular) lies above the hyoid, from skull base to hyoid, not hyoid to cricoid.</w:t>
      </w:r>
    </w:p>
    <w:p>
      <w:pPr>
        <w:spacing w:after="40"/>
        <w:ind w:left="360"/>
      </w:pPr>
      <w:r>
        <w:rPr>
          <w:b/>
          <w:bCs/>
          <w:sz w:val="20"/>
          <w:szCs w:val="20"/>
        </w:rPr>
        <w:t xml:space="preserve">C) </w:t>
      </w:r>
      <w:r>
        <w:rPr>
          <w:sz w:val="20"/>
          <w:szCs w:val="20"/>
        </w:rPr>
        <w:t xml:space="preserve">Correct — level III (middle jugular) is bounded superiorly by the hyoid and inferiorly by the cricoid cartilage, matching this description.</w:t>
      </w:r>
    </w:p>
    <w:p>
      <w:pPr>
        <w:spacing w:after="40"/>
        <w:ind w:left="360"/>
      </w:pPr>
      <w:r>
        <w:rPr>
          <w:b/>
          <w:bCs/>
          <w:sz w:val="20"/>
          <w:szCs w:val="20"/>
        </w:rPr>
        <w:t xml:space="preserve">D) </w:t>
      </w:r>
      <w:r>
        <w:rPr>
          <w:sz w:val="20"/>
          <w:szCs w:val="20"/>
        </w:rPr>
        <w:t xml:space="preserve">Incorrect — level IV (lower jugular) lies below the cricoid cartilage to the clavicle.</w:t>
      </w:r>
    </w:p>
    <w:p>
      <w:pPr>
        <w:spacing w:after="40"/>
        <w:ind w:left="360"/>
      </w:pPr>
      <w:r>
        <w:rPr>
          <w:b/>
          <w:bCs/>
          <w:sz w:val="20"/>
          <w:szCs w:val="20"/>
        </w:rPr>
        <w:t xml:space="preserve">E) </w:t>
      </w:r>
      <w:r>
        <w:rPr>
          <w:sz w:val="20"/>
          <w:szCs w:val="20"/>
        </w:rPr>
        <w:t xml:space="preserve">Incorrect — level V (posterior triangle) is defined by the posterior border of sternocleidomastoid and anterior border of trapezius, a different region entirely.</w:t>
      </w:r>
    </w:p>
    <w:p>
      <w:pPr>
        <w:spacing w:after="200"/>
      </w:pPr>
      <w:r>
        <w:rPr>
          <w:i/>
          <w:iCs/>
          <w:color w:val="595959"/>
          <w:sz w:val="16"/>
          <w:szCs w:val="16"/>
        </w:rPr>
        <w:t xml:space="preserve">Source: StatPearls — Neck Cancer Resection and Dissection — https://www.ncbi.nlm.nih.gov/books/NBK536998/</w:t>
      </w:r>
    </w:p>
    <w:p>
      <w:pPr>
        <w:spacing w:after="120" w:before="300"/>
      </w:pPr>
      <w:r>
        <w:rPr>
          <w:b/>
          <w:bCs/>
          <w:sz w:val="24"/>
          <w:szCs w:val="24"/>
        </w:rPr>
        <w:t xml:space="preserve">19. </w:t>
      </w:r>
      <w:r>
        <w:rPr>
          <w:sz w:val="24"/>
          <w:szCs w:val="24"/>
        </w:rPr>
        <w:t xml:space="preserve">Final histopathology after resection of an oral tongue carcinoma shows clear surgical margins and no extranodal extension in the two positive lymph nodes. However, the report specifically notes perineural invasion by tumor cells around a peripheral nerve within the specimen.</w:t>
      </w:r>
    </w:p>
    <w:p>
      <w:pPr>
        <w:spacing w:after="120"/>
      </w:pPr>
      <w:r>
        <w:rPr>
          <w:i/>
          <w:iCs/>
          <w:sz w:val="24"/>
          <w:szCs w:val="24"/>
        </w:rPr>
        <w:t xml:space="preserve">How should the presence of perineural invasion, despite clear margins and no extranodal extension, influence adjuvant management?</w:t>
      </w:r>
    </w:p>
    <w:p>
      <w:pPr>
        <w:spacing w:after="60"/>
        <w:ind w:left="360"/>
      </w:pPr>
      <w:r>
        <w:rPr>
          <w:b/>
          <w:bCs/>
          <w:sz w:val="22"/>
          <w:szCs w:val="22"/>
        </w:rPr>
        <w:t xml:space="preserve">A) </w:t>
      </w:r>
      <w:r>
        <w:rPr>
          <w:sz w:val="22"/>
          <w:szCs w:val="22"/>
        </w:rPr>
        <w:t xml:space="preserve">It has no prognostic significance and does not influence adjuvant treatment decisions</w:t>
      </w:r>
    </w:p>
    <w:p>
      <w:pPr>
        <w:spacing w:after="60"/>
        <w:ind w:left="360"/>
      </w:pPr>
      <w:r>
        <w:rPr>
          <w:b/>
          <w:bCs/>
          <w:sz w:val="22"/>
          <w:szCs w:val="22"/>
        </w:rPr>
        <w:t xml:space="preserve">B) </w:t>
      </w:r>
      <w:r>
        <w:rPr>
          <w:sz w:val="22"/>
          <w:szCs w:val="22"/>
        </w:rPr>
        <w:t xml:space="preserve">It is an absolute contraindication to any further treatment</w:t>
      </w:r>
    </w:p>
    <w:p>
      <w:pPr>
        <w:spacing w:after="60"/>
        <w:ind w:left="360"/>
      </w:pPr>
      <w:r>
        <w:rPr>
          <w:b/>
          <w:bCs/>
          <w:sz w:val="22"/>
          <w:szCs w:val="22"/>
        </w:rPr>
        <w:t xml:space="preserve">C) </w:t>
      </w:r>
      <w:r>
        <w:rPr>
          <w:sz w:val="22"/>
          <w:szCs w:val="22"/>
        </w:rPr>
        <w:t xml:space="preserve">It is an intermediate-risk pathological feature that should prompt consideration of adjuvant radiotherapy</w:t>
      </w:r>
    </w:p>
    <w:p>
      <w:pPr>
        <w:spacing w:after="60"/>
        <w:ind w:left="360"/>
      </w:pPr>
      <w:r>
        <w:rPr>
          <w:b/>
          <w:bCs/>
          <w:sz w:val="22"/>
          <w:szCs w:val="22"/>
        </w:rPr>
        <w:t xml:space="preserve">D) </w:t>
      </w:r>
      <w:r>
        <w:rPr>
          <w:sz w:val="22"/>
          <w:szCs w:val="22"/>
        </w:rPr>
        <w:t xml:space="preserve">It mandates chemoradiotherapy regardless of other findings, exactly as positive margins or ECE would</w:t>
      </w:r>
    </w:p>
    <w:p>
      <w:pPr>
        <w:spacing w:after="60"/>
        <w:ind w:left="360"/>
      </w:pPr>
      <w:r>
        <w:rPr>
          <w:b/>
          <w:bCs/>
          <w:sz w:val="22"/>
          <w:szCs w:val="22"/>
        </w:rPr>
        <w:t xml:space="preserve">E) </w:t>
      </w:r>
      <w:r>
        <w:rPr>
          <w:sz w:val="22"/>
          <w:szCs w:val="22"/>
        </w:rPr>
        <w:t xml:space="preserve">It only matters if the primary tumor is in the buccal mucosa</w:t>
      </w:r>
    </w:p>
    <w:p>
      <w:pPr>
        <w:spacing w:after="80" w:before="120"/>
      </w:pPr>
      <w:r>
        <w:rPr>
          <w:b/>
          <w:bCs/>
          <w:color w:val="006100"/>
          <w:sz w:val="24"/>
          <w:szCs w:val="24"/>
        </w:rPr>
        <w:t xml:space="preserve">Answer: C</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perineural invasion is a recognized independent adverse prognostic factor.</w:t>
      </w:r>
    </w:p>
    <w:p>
      <w:pPr>
        <w:spacing w:after="40"/>
        <w:ind w:left="360"/>
      </w:pPr>
      <w:r>
        <w:rPr>
          <w:b/>
          <w:bCs/>
          <w:sz w:val="20"/>
          <w:szCs w:val="20"/>
        </w:rPr>
        <w:t xml:space="preserve">B) </w:t>
      </w:r>
      <w:r>
        <w:rPr>
          <w:sz w:val="20"/>
          <w:szCs w:val="20"/>
        </w:rPr>
        <w:t xml:space="preserve">Incorrect — it is a risk factor to weigh in adjuvant decision-making, not a reason to withhold treatment.</w:t>
      </w:r>
    </w:p>
    <w:p>
      <w:pPr>
        <w:spacing w:after="40"/>
        <w:ind w:left="360"/>
      </w:pPr>
      <w:r>
        <w:rPr>
          <w:b/>
          <w:bCs/>
          <w:sz w:val="20"/>
          <w:szCs w:val="20"/>
        </w:rPr>
        <w:t xml:space="preserve">C) </w:t>
      </w:r>
      <w:r>
        <w:rPr>
          <w:sz w:val="20"/>
          <w:szCs w:val="20"/>
        </w:rPr>
        <w:t xml:space="preserve">Correct — perineural invasion is considered an intermediate-risk pathological feature (alongside lymphovascular invasion, pT3-4, close margins) that should prompt consideration of adjuvant radiotherapy, even in the absence of the high-risk features (positive margins, ECE) that mandate chemoradiotherapy.</w:t>
      </w:r>
    </w:p>
    <w:p>
      <w:pPr>
        <w:spacing w:after="40"/>
        <w:ind w:left="360"/>
      </w:pPr>
      <w:r>
        <w:rPr>
          <w:b/>
          <w:bCs/>
          <w:sz w:val="20"/>
          <w:szCs w:val="20"/>
        </w:rPr>
        <w:t xml:space="preserve">D) </w:t>
      </w:r>
      <w:r>
        <w:rPr>
          <w:sz w:val="20"/>
          <w:szCs w:val="20"/>
        </w:rPr>
        <w:t xml:space="preserve">Incorrect — chemoradiotherapy is specifically reserved for high-risk features like positive margins or ECE; PNI alone typically prompts consideration of radiotherapy, not necessarily concurrent chemotherapy.</w:t>
      </w:r>
    </w:p>
    <w:p>
      <w:pPr>
        <w:spacing w:after="40"/>
        <w:ind w:left="360"/>
      </w:pPr>
      <w:r>
        <w:rPr>
          <w:b/>
          <w:bCs/>
          <w:sz w:val="20"/>
          <w:szCs w:val="20"/>
        </w:rPr>
        <w:t xml:space="preserve">E) </w:t>
      </w:r>
      <w:r>
        <w:rPr>
          <w:sz w:val="20"/>
          <w:szCs w:val="20"/>
        </w:rPr>
        <w:t xml:space="preserve">Incorrect — PNI's prognostic significance is not site-restricted to the buccal mucosa.</w:t>
      </w:r>
    </w:p>
    <w:p>
      <w:pPr>
        <w:spacing w:after="200"/>
      </w:pPr>
      <w:r>
        <w:rPr>
          <w:i/>
          <w:iCs/>
          <w:color w:val="595959"/>
          <w:sz w:val="16"/>
          <w:szCs w:val="16"/>
        </w:rPr>
        <w:t xml:space="preserve">Source: ScienceDirect — Outcomes of oral cavity SCC with PNI treated with adjuvant IMRT — https://www.sciencedirect.com/science/article/pii/S2405630826000364</w:t>
      </w:r>
    </w:p>
    <w:p>
      <w:pPr>
        <w:spacing w:after="120" w:before="300"/>
      </w:pPr>
      <w:r>
        <w:rPr>
          <w:b/>
          <w:bCs/>
          <w:sz w:val="24"/>
          <w:szCs w:val="24"/>
        </w:rPr>
        <w:t xml:space="preserve">20. </w:t>
      </w:r>
      <w:r>
        <w:rPr>
          <w:sz w:val="24"/>
          <w:szCs w:val="24"/>
        </w:rPr>
        <w:t xml:space="preserve">A 48-year-old man is found to have a well-defined, slightly raised white patch on his buccal mucosa that cannot be scraped off with a tongue depressor. Investigations, including biopsy, exclude candidiasis, lichen planus, and other specific mucosal diseases, and he has a history of tobacco chewing.</w:t>
      </w:r>
    </w:p>
    <w:p>
      <w:pPr>
        <w:spacing w:after="120"/>
      </w:pPr>
      <w:r>
        <w:rPr>
          <w:i/>
          <w:iCs/>
          <w:sz w:val="24"/>
          <w:szCs w:val="24"/>
        </w:rPr>
        <w:t xml:space="preserve">What is the most appropriate diagnosis, and how is it best characterized?</w:t>
      </w:r>
    </w:p>
    <w:p>
      <w:pPr>
        <w:spacing w:after="60"/>
        <w:ind w:left="360"/>
      </w:pPr>
      <w:r>
        <w:rPr>
          <w:b/>
          <w:bCs/>
          <w:sz w:val="22"/>
          <w:szCs w:val="22"/>
        </w:rPr>
        <w:t xml:space="preserve">A) </w:t>
      </w:r>
      <w:r>
        <w:rPr>
          <w:sz w:val="22"/>
          <w:szCs w:val="22"/>
        </w:rPr>
        <w:t xml:space="preserve">Erythroplakia — a red patch diagnosed by exclusion</w:t>
      </w:r>
    </w:p>
    <w:p>
      <w:pPr>
        <w:spacing w:after="60"/>
        <w:ind w:left="360"/>
      </w:pPr>
      <w:r>
        <w:rPr>
          <w:b/>
          <w:bCs/>
          <w:sz w:val="22"/>
          <w:szCs w:val="22"/>
        </w:rPr>
        <w:t xml:space="preserve">B) </w:t>
      </w:r>
      <w:r>
        <w:rPr>
          <w:sz w:val="22"/>
          <w:szCs w:val="22"/>
        </w:rPr>
        <w:t xml:space="preserve">Leukoplakia — a white patch/plaque diagnosed by exclusion of other identifiable causes</w:t>
      </w:r>
    </w:p>
    <w:p>
      <w:pPr>
        <w:spacing w:after="60"/>
        <w:ind w:left="360"/>
      </w:pPr>
      <w:r>
        <w:rPr>
          <w:b/>
          <w:bCs/>
          <w:sz w:val="22"/>
          <w:szCs w:val="22"/>
        </w:rPr>
        <w:t xml:space="preserve">C) </w:t>
      </w:r>
      <w:r>
        <w:rPr>
          <w:sz w:val="22"/>
          <w:szCs w:val="22"/>
        </w:rPr>
        <w:t xml:space="preserve">Oral candidiasis — confirmed by a positive KOH preparation</w:t>
      </w:r>
    </w:p>
    <w:p>
      <w:pPr>
        <w:spacing w:after="60"/>
        <w:ind w:left="360"/>
      </w:pPr>
      <w:r>
        <w:rPr>
          <w:b/>
          <w:bCs/>
          <w:sz w:val="22"/>
          <w:szCs w:val="22"/>
        </w:rPr>
        <w:t xml:space="preserve">D) </w:t>
      </w:r>
      <w:r>
        <w:rPr>
          <w:sz w:val="22"/>
          <w:szCs w:val="22"/>
        </w:rPr>
        <w:t xml:space="preserve">Oral hairy leukoplakia — associated exclusively with HIV infection</w:t>
      </w:r>
    </w:p>
    <w:p>
      <w:pPr>
        <w:spacing w:after="60"/>
        <w:ind w:left="360"/>
      </w:pPr>
      <w:r>
        <w:rPr>
          <w:b/>
          <w:bCs/>
          <w:sz w:val="22"/>
          <w:szCs w:val="22"/>
        </w:rPr>
        <w:t xml:space="preserve">E) </w:t>
      </w:r>
      <w:r>
        <w:rPr>
          <w:sz w:val="22"/>
          <w:szCs w:val="22"/>
        </w:rPr>
        <w:t xml:space="preserve">Pseudomembranous plaque — wipes off easily leaving a raw base</w:t>
      </w:r>
    </w:p>
    <w:p>
      <w:pPr>
        <w:spacing w:after="80" w:before="120"/>
      </w:pPr>
      <w:r>
        <w:rPr>
          <w:b/>
          <w:bCs/>
          <w:color w:val="006100"/>
          <w:sz w:val="24"/>
          <w:szCs w:val="24"/>
        </w:rPr>
        <w:t xml:space="preserve">Answer: B</w:t>
      </w:r>
    </w:p>
    <w:p>
      <w:pPr>
        <w:spacing w:after="60"/>
      </w:pPr>
      <w:r>
        <w:rPr>
          <w:b/>
          <w:bCs/>
          <w:sz w:val="22"/>
          <w:szCs w:val="22"/>
        </w:rPr>
        <w:t xml:space="preserve">Explanation:</w:t>
      </w:r>
    </w:p>
    <w:p>
      <w:pPr>
        <w:spacing w:after="40"/>
        <w:ind w:left="360"/>
      </w:pPr>
      <w:r>
        <w:rPr>
          <w:b/>
          <w:bCs/>
          <w:sz w:val="20"/>
          <w:szCs w:val="20"/>
        </w:rPr>
        <w:t xml:space="preserve">A) </w:t>
      </w:r>
      <w:r>
        <w:rPr>
          <w:sz w:val="20"/>
          <w:szCs w:val="20"/>
        </w:rPr>
        <w:t xml:space="preserve">Incorrect — erythroplakia is a red, not white, lesion.</w:t>
      </w:r>
    </w:p>
    <w:p>
      <w:pPr>
        <w:spacing w:after="40"/>
        <w:ind w:left="360"/>
      </w:pPr>
      <w:r>
        <w:rPr>
          <w:b/>
          <w:bCs/>
          <w:sz w:val="20"/>
          <w:szCs w:val="20"/>
        </w:rPr>
        <w:t xml:space="preserve">B) </w:t>
      </w:r>
      <w:r>
        <w:rPr>
          <w:sz w:val="20"/>
          <w:szCs w:val="20"/>
        </w:rPr>
        <w:t xml:space="preserve">Correct — leukoplakia is defined (WHO) as a predominantly white patch or plaque that cannot be rubbed off or characterized clinically/histologically as any other specific disease, diagnosed by exclusion.</w:t>
      </w:r>
    </w:p>
    <w:p>
      <w:pPr>
        <w:spacing w:after="40"/>
        <w:ind w:left="360"/>
      </w:pPr>
      <w:r>
        <w:rPr>
          <w:b/>
          <w:bCs/>
          <w:sz w:val="20"/>
          <w:szCs w:val="20"/>
        </w:rPr>
        <w:t xml:space="preserve">C) </w:t>
      </w:r>
      <w:r>
        <w:rPr>
          <w:sz w:val="20"/>
          <w:szCs w:val="20"/>
        </w:rPr>
        <w:t xml:space="preserve">Incorrect — candidiasis has been specifically excluded by investigation.</w:t>
      </w:r>
    </w:p>
    <w:p>
      <w:pPr>
        <w:spacing w:after="40"/>
        <w:ind w:left="360"/>
      </w:pPr>
      <w:r>
        <w:rPr>
          <w:b/>
          <w:bCs/>
          <w:sz w:val="20"/>
          <w:szCs w:val="20"/>
        </w:rPr>
        <w:t xml:space="preserve">D) </w:t>
      </w:r>
      <w:r>
        <w:rPr>
          <w:sz w:val="20"/>
          <w:szCs w:val="20"/>
        </w:rPr>
        <w:t xml:space="preserve">Incorrect — hairy leukoplakia is a distinct, EBV-related, HIV-associated lesion with a corrugated tongue-border appearance, not matching this description.</w:t>
      </w:r>
    </w:p>
    <w:p>
      <w:pPr>
        <w:spacing w:after="40"/>
        <w:ind w:left="360"/>
      </w:pPr>
      <w:r>
        <w:rPr>
          <w:b/>
          <w:bCs/>
          <w:sz w:val="20"/>
          <w:szCs w:val="20"/>
        </w:rPr>
        <w:t xml:space="preserve">E) </w:t>
      </w:r>
      <w:r>
        <w:rPr>
          <w:sz w:val="20"/>
          <w:szCs w:val="20"/>
        </w:rPr>
        <w:t xml:space="preserve">Incorrect — a lesion that wipes off easily is not leukoplakia by definition, since leukoplakia specifically cannot be scraped off.</w:t>
      </w:r>
    </w:p>
    <w:p>
      <w:pPr>
        <w:spacing w:after="200"/>
      </w:pPr>
      <w:r>
        <w:rPr>
          <w:i/>
          <w:iCs/>
          <w:color w:val="595959"/>
          <w:sz w:val="16"/>
          <w:szCs w:val="16"/>
        </w:rPr>
        <w:t xml:space="preserve">Source: PMC — Oral leukoplakia: ongoing discussion on definition and terminology — https://www.ncbi.nlm.nih.gov/pmc/articles/PMC4670248/</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2026-09-04T05:59:33.127Z</dcterms:created>
  <dcterms:modified xsi:type="dcterms:W3CDTF">2026-09-04T05:59:33.127Z</dcterms:modified>
</cp:coreProperties>
</file>

<file path=docProps/custom.xml><?xml version="1.0" encoding="utf-8"?>
<Properties xmlns="http://schemas.openxmlformats.org/officeDocument/2006/custom-properties" xmlns:vt="http://schemas.openxmlformats.org/officeDocument/2006/docPropsVTypes"/>
</file>